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E6284C" w:rsidP="003F398E">
      <w:pPr>
        <w:pStyle w:val="APA"/>
      </w:pPr>
    </w:p>
    <w:p w:rsidR="003F398E" w:rsidRDefault="003F398E" w:rsidP="003F398E">
      <w:pPr>
        <w:pStyle w:val="APA"/>
      </w:pPr>
    </w:p>
    <w:p w:rsidR="003F398E" w:rsidRDefault="003F398E" w:rsidP="003F398E">
      <w:pPr>
        <w:pStyle w:val="APA"/>
      </w:pPr>
    </w:p>
    <w:p w:rsidR="003F398E" w:rsidRDefault="003F398E" w:rsidP="003F398E">
      <w:pPr>
        <w:pStyle w:val="APA"/>
      </w:pPr>
    </w:p>
    <w:p w:rsidR="003F398E" w:rsidRDefault="003F398E" w:rsidP="003F398E">
      <w:pPr>
        <w:pStyle w:val="APA"/>
      </w:pPr>
    </w:p>
    <w:p w:rsidR="003F398E" w:rsidRDefault="003F398E" w:rsidP="003F398E">
      <w:pPr>
        <w:pStyle w:val="APA"/>
      </w:pPr>
    </w:p>
    <w:p w:rsidR="003F398E" w:rsidRDefault="003F398E" w:rsidP="003F398E">
      <w:pPr>
        <w:pStyle w:val="APA"/>
      </w:pPr>
    </w:p>
    <w:p w:rsidR="003F398E" w:rsidRDefault="00996D5E" w:rsidP="003F398E">
      <w:pPr>
        <w:pStyle w:val="APAHeadingCenter"/>
      </w:pPr>
      <w:bookmarkStart w:id="0" w:name="bmTitlePageTitle"/>
      <w:r>
        <w:t>Case Study: TIA</w:t>
      </w:r>
      <w:bookmarkEnd w:id="0"/>
    </w:p>
    <w:p w:rsidR="003F398E" w:rsidRDefault="00996D5E" w:rsidP="003F398E">
      <w:pPr>
        <w:pStyle w:val="APAHeadingCenter"/>
      </w:pPr>
      <w:bookmarkStart w:id="1" w:name="bmTitlePageName"/>
      <w:r>
        <w:t>Clarke Krugman</w:t>
      </w:r>
      <w:bookmarkEnd w:id="1"/>
    </w:p>
    <w:p w:rsidR="003F398E" w:rsidRDefault="00996D5E" w:rsidP="003F398E">
      <w:pPr>
        <w:pStyle w:val="APAHeadingCenter"/>
      </w:pPr>
      <w:bookmarkStart w:id="2" w:name="bmTitlePageInst"/>
      <w:r>
        <w:t>Old Dominion University</w:t>
      </w:r>
      <w:bookmarkEnd w:id="2"/>
    </w:p>
    <w:p w:rsidR="003F398E" w:rsidRDefault="00996D5E" w:rsidP="003F398E">
      <w:pPr>
        <w:pStyle w:val="APAHeadingCenter"/>
      </w:pPr>
      <w:bookmarkStart w:id="3" w:name="bmTitleAdd1"/>
      <w:r>
        <w:t>Adult-Gerontology CNS Practicum I</w:t>
      </w:r>
      <w:bookmarkEnd w:id="3"/>
    </w:p>
    <w:p w:rsidR="003F398E" w:rsidRDefault="00996D5E" w:rsidP="003F398E">
      <w:pPr>
        <w:pStyle w:val="APAHeadingCenter"/>
      </w:pPr>
      <w:bookmarkStart w:id="4" w:name="bmTitleAdd2"/>
      <w:r>
        <w:t>NURS639</w:t>
      </w:r>
      <w:bookmarkEnd w:id="4"/>
    </w:p>
    <w:p w:rsidR="003F398E" w:rsidRDefault="00996D5E" w:rsidP="003F398E">
      <w:pPr>
        <w:pStyle w:val="APAHeadingCenter"/>
      </w:pPr>
      <w:bookmarkStart w:id="5" w:name="bmTitleAdd3"/>
      <w:r>
        <w:t>Professor Sharp</w:t>
      </w:r>
      <w:bookmarkEnd w:id="5"/>
    </w:p>
    <w:p w:rsidR="003F398E" w:rsidRDefault="00996D5E" w:rsidP="003F398E">
      <w:pPr>
        <w:pStyle w:val="APAHeadingCenter"/>
      </w:pPr>
      <w:bookmarkStart w:id="6" w:name="bmTitleAdd4"/>
      <w:r>
        <w:t>April 7, 2015</w:t>
      </w:r>
      <w:bookmarkEnd w:id="6"/>
    </w:p>
    <w:p w:rsidR="003F398E" w:rsidRDefault="003F398E" w:rsidP="003F398E">
      <w:pPr>
        <w:pStyle w:val="APA"/>
        <w:sectPr w:rsidR="003F398E" w:rsidSect="003F39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3F398E" w:rsidRDefault="00996D5E" w:rsidP="003F398E">
      <w:pPr>
        <w:pStyle w:val="APAHeadingCenter"/>
      </w:pPr>
      <w:bookmarkStart w:id="7" w:name="bmFirstPageTitle"/>
      <w:r>
        <w:lastRenderedPageBreak/>
        <w:t>Case Study: TIA</w:t>
      </w:r>
      <w:bookmarkEnd w:id="7"/>
    </w:p>
    <w:p w:rsidR="00C0317A" w:rsidRDefault="00956AEA" w:rsidP="00C0317A">
      <w:pPr>
        <w:pStyle w:val="APA"/>
      </w:pPr>
      <w:r>
        <w:t xml:space="preserve">This paper explores a case study wherein a patient is diagnosed upon admission with a transient ischemic attack, or TIA. </w:t>
      </w:r>
      <w:r w:rsidR="00537FBC">
        <w:t>Methods of</w:t>
      </w:r>
      <w:r>
        <w:t xml:space="preserve"> correct history taking, body systems to review, diagnosis, treatment</w:t>
      </w:r>
      <w:r w:rsidR="00537FBC">
        <w:t>,</w:t>
      </w:r>
      <w:r>
        <w:t xml:space="preserve"> and follow-up will be </w:t>
      </w:r>
      <w:r w:rsidR="00537FBC">
        <w:t>exercised</w:t>
      </w:r>
      <w:r>
        <w:t xml:space="preserve">. </w:t>
      </w:r>
      <w:r w:rsidR="00537FBC">
        <w:t>In doing so, t</w:t>
      </w:r>
      <w:r>
        <w:t xml:space="preserve">he paper will underscore the </w:t>
      </w:r>
      <w:r w:rsidR="00BD06C8">
        <w:t xml:space="preserve">importance of critical thinking, accurate </w:t>
      </w:r>
      <w:r>
        <w:t>assessment, gathering of information, and usage of clinical guidelines</w:t>
      </w:r>
      <w:r w:rsidR="00BD06C8">
        <w:t xml:space="preserve"> to direct quality care.</w:t>
      </w:r>
    </w:p>
    <w:p w:rsidR="00BD06C8" w:rsidRPr="00C138BA" w:rsidRDefault="00182883" w:rsidP="00182883">
      <w:pPr>
        <w:pStyle w:val="APA"/>
        <w:ind w:firstLine="0"/>
        <w:jc w:val="center"/>
        <w:rPr>
          <w:b/>
        </w:rPr>
      </w:pPr>
      <w:r w:rsidRPr="00C138BA">
        <w:rPr>
          <w:b/>
        </w:rPr>
        <w:t>Background</w:t>
      </w:r>
    </w:p>
    <w:p w:rsidR="00182883" w:rsidRDefault="00182883" w:rsidP="00182883">
      <w:pPr>
        <w:pStyle w:val="APA"/>
        <w:ind w:firstLine="0"/>
      </w:pPr>
      <w:r>
        <w:tab/>
        <w:t xml:space="preserve">A 78 year old presents having had a </w:t>
      </w:r>
      <w:r w:rsidR="00003592">
        <w:t>weekend episode of sudden-onset, right-sided weakness which resolved in under 2 hours. No medical attention was sought until present time (approximated at 48 hours) because the symptoms had resolved. Past medical history reveals a 64 pack-year history of smoking, ‘mild hypertension’ of 10 years duration,</w:t>
      </w:r>
      <w:r w:rsidR="00ED74DE">
        <w:t xml:space="preserve"> and</w:t>
      </w:r>
      <w:r w:rsidR="00003592">
        <w:t xml:space="preserve"> elevated lipids “a few years back” which is untreated. No current medications are </w:t>
      </w:r>
      <w:r w:rsidR="00ED74DE">
        <w:t xml:space="preserve">being </w:t>
      </w:r>
      <w:r w:rsidR="00003592">
        <w:t>taken; patient states he takes aspirin on occasion. He discontinued HCTZ 50mg 10 years ago. Patient has no primary care physician and has not received immunizations in a decade.</w:t>
      </w:r>
    </w:p>
    <w:p w:rsidR="00F7167C" w:rsidRPr="00C138BA" w:rsidRDefault="00F7167C" w:rsidP="00F7167C">
      <w:pPr>
        <w:pStyle w:val="APA"/>
        <w:ind w:firstLine="0"/>
        <w:jc w:val="center"/>
        <w:rPr>
          <w:b/>
        </w:rPr>
      </w:pPr>
      <w:r w:rsidRPr="00C138BA">
        <w:rPr>
          <w:b/>
        </w:rPr>
        <w:t>First Impressions</w:t>
      </w:r>
    </w:p>
    <w:p w:rsidR="00F7167C" w:rsidRDefault="00F7167C" w:rsidP="00F7167C">
      <w:pPr>
        <w:pStyle w:val="APA"/>
        <w:ind w:firstLine="0"/>
      </w:pPr>
      <w:r>
        <w:tab/>
        <w:t xml:space="preserve">This patient is at high risk for stroke following what </w:t>
      </w:r>
      <w:r w:rsidR="00ED74DE">
        <w:t>might</w:t>
      </w:r>
      <w:r>
        <w:t xml:space="preserve"> be a transient ischemic attack, or TIA.  Admission to hospital is recommended</w:t>
      </w:r>
      <w:r w:rsidR="00C138BA">
        <w:t xml:space="preserve">, hopefully within 24 hours of symptoms. Even if delayed, medical attention should be sought promptly </w:t>
      </w:r>
      <w:bookmarkStart w:id="8" w:name="C420945114814815I0T420995086805556"/>
      <w:r w:rsidR="00C138BA">
        <w:t>(Johnston et al., 2011)</w:t>
      </w:r>
      <w:bookmarkEnd w:id="8"/>
      <w:r w:rsidR="00C138BA">
        <w:t xml:space="preserve">. </w:t>
      </w:r>
      <w:r>
        <w:t xml:space="preserve"> </w:t>
      </w:r>
      <w:r w:rsidR="00C138BA">
        <w:t>T</w:t>
      </w:r>
      <w:r>
        <w:t>he risk for stroke is as high as 11% within seven days of having a TIA</w:t>
      </w:r>
      <w:bookmarkStart w:id="9" w:name="C420599037847222I0T420995053240741"/>
      <w:r>
        <w:t xml:space="preserve"> (Nanda, 2011)</w:t>
      </w:r>
      <w:bookmarkEnd w:id="9"/>
      <w:r>
        <w:t xml:space="preserve">. </w:t>
      </w:r>
    </w:p>
    <w:p w:rsidR="00F1496B" w:rsidRDefault="00F1496B" w:rsidP="00F1496B">
      <w:pPr>
        <w:pStyle w:val="APA"/>
        <w:ind w:firstLine="0"/>
        <w:jc w:val="center"/>
        <w:rPr>
          <w:b/>
        </w:rPr>
      </w:pPr>
      <w:r w:rsidRPr="00F1496B">
        <w:rPr>
          <w:b/>
        </w:rPr>
        <w:t>History</w:t>
      </w:r>
      <w:r w:rsidR="00A55074">
        <w:rPr>
          <w:b/>
        </w:rPr>
        <w:t xml:space="preserve"> of Present </w:t>
      </w:r>
      <w:r w:rsidR="002E7153">
        <w:rPr>
          <w:b/>
        </w:rPr>
        <w:t>I</w:t>
      </w:r>
      <w:r w:rsidR="00A55074">
        <w:rPr>
          <w:b/>
        </w:rPr>
        <w:t>llness</w:t>
      </w:r>
    </w:p>
    <w:p w:rsidR="00A55074" w:rsidRDefault="00A55074" w:rsidP="00A55074">
      <w:pPr>
        <w:pStyle w:val="APA"/>
        <w:ind w:firstLine="0"/>
      </w:pPr>
      <w:r>
        <w:rPr>
          <w:b/>
        </w:rPr>
        <w:tab/>
      </w:r>
      <w:r w:rsidRPr="00A55074">
        <w:t>The history of present illness (HPI) is a</w:t>
      </w:r>
      <w:r>
        <w:t xml:space="preserve">, “…complete, clear, and chronological account of the problems prompting the patient to seek care” </w:t>
      </w:r>
      <w:bookmarkStart w:id="10" w:name="C420749891063310I396343T420997684606481"/>
      <w:r>
        <w:t>(Bickley, 2013, p. 8)</w:t>
      </w:r>
      <w:bookmarkEnd w:id="10"/>
      <w:r>
        <w:t>. It has specific components which include</w:t>
      </w:r>
      <w:r w:rsidR="00ED74DE">
        <w:t>:</w:t>
      </w:r>
      <w:r>
        <w:t xml:space="preserve"> principal symptoms, medications, allergies, and tobacco, alcohol, </w:t>
      </w:r>
      <w:r>
        <w:lastRenderedPageBreak/>
        <w:t xml:space="preserve">and drug use </w:t>
      </w:r>
      <w:bookmarkStart w:id="11" w:name="C420749891063310I396343T420997700347222"/>
      <w:r>
        <w:t>(Bickley, 2013)</w:t>
      </w:r>
      <w:bookmarkEnd w:id="11"/>
      <w:r>
        <w:t xml:space="preserve">. The </w:t>
      </w:r>
      <w:r w:rsidR="002D61C9" w:rsidRPr="00ED74DE">
        <w:rPr>
          <w:i/>
        </w:rPr>
        <w:t xml:space="preserve">principal </w:t>
      </w:r>
      <w:r w:rsidRPr="00ED74DE">
        <w:rPr>
          <w:i/>
        </w:rPr>
        <w:t>symptoms</w:t>
      </w:r>
      <w:r>
        <w:t xml:space="preserve"> are investigated for seven specific attributes, (1) location (on the patient’s body); (2) quality (ex.,sharp, dull, throbbing); (3) quantity or severity; (4) timing, including onset, duration, and frequency; (5) the setting in which it occurs; (6) factors which aggravate or alleviate the symptom</w:t>
      </w:r>
      <w:r w:rsidR="002D61C9">
        <w:t>; and (7) associated manifestations. Bickley states, “These are invaluable for understanding all patient symptoms” (2013, p. 8).  Also included in the HPI are the pertinent positives and pertinent negatives that are revealed in the chief complaint and review of systems</w:t>
      </w:r>
      <w:r w:rsidR="00ED74DE">
        <w:t xml:space="preserve"> </w:t>
      </w:r>
      <w:bookmarkStart w:id="12" w:name="C420749891063310I396343T420997927662037"/>
      <w:r w:rsidR="00ED74DE">
        <w:t>(Bickley, 2013)</w:t>
      </w:r>
      <w:bookmarkEnd w:id="12"/>
      <w:r w:rsidR="002D61C9">
        <w:t>.</w:t>
      </w:r>
    </w:p>
    <w:p w:rsidR="002D61C9" w:rsidRDefault="002D61C9" w:rsidP="00A55074">
      <w:pPr>
        <w:pStyle w:val="APA"/>
        <w:ind w:firstLine="0"/>
      </w:pPr>
      <w:r>
        <w:tab/>
        <w:t xml:space="preserve">Applied to </w:t>
      </w:r>
      <w:r w:rsidR="00ED74DE">
        <w:t>this</w:t>
      </w:r>
      <w:r>
        <w:t xml:space="preserve"> 78 year old patient, </w:t>
      </w:r>
      <w:r w:rsidR="00ED74DE">
        <w:t>it is</w:t>
      </w:r>
      <w:r>
        <w:t xml:space="preserve"> know</w:t>
      </w:r>
      <w:r w:rsidR="00ED74DE">
        <w:t>n</w:t>
      </w:r>
      <w:r>
        <w:t xml:space="preserve"> that he is a smoker, and </w:t>
      </w:r>
      <w:r w:rsidR="00ED74DE">
        <w:t>as yet there is</w:t>
      </w:r>
      <w:r>
        <w:t xml:space="preserve"> an incomplete description of his symptoms, as well as minimal information about alcohol, medications, and allergies. </w:t>
      </w:r>
      <w:r w:rsidR="00ED74DE">
        <w:t>Efforts should be made</w:t>
      </w:r>
      <w:r>
        <w:t xml:space="preserve"> to obtain the attributes relating to his principal </w:t>
      </w:r>
      <w:r w:rsidR="00AA42B6">
        <w:t>symptoms (numbered 1 through 7 above), a formal review of medications, specifics about allergies, and any use of alcohol or drugs.</w:t>
      </w:r>
    </w:p>
    <w:p w:rsidR="00AA42B6" w:rsidRPr="00AA42B6" w:rsidRDefault="00AA42B6" w:rsidP="00AA42B6">
      <w:pPr>
        <w:pStyle w:val="APA"/>
        <w:ind w:firstLine="0"/>
        <w:jc w:val="center"/>
        <w:rPr>
          <w:b/>
        </w:rPr>
      </w:pPr>
      <w:r w:rsidRPr="00AA42B6">
        <w:rPr>
          <w:b/>
        </w:rPr>
        <w:t>Additional History</w:t>
      </w:r>
    </w:p>
    <w:p w:rsidR="00D77E1C" w:rsidRDefault="00AA42B6" w:rsidP="00D77E1C">
      <w:pPr>
        <w:pStyle w:val="APA"/>
        <w:ind w:firstLine="0"/>
      </w:pPr>
      <w:r>
        <w:rPr>
          <w:b/>
        </w:rPr>
        <w:tab/>
      </w:r>
      <w:r w:rsidRPr="00AA42B6">
        <w:t>Childhood an</w:t>
      </w:r>
      <w:r>
        <w:t>d adult illnesses are part of good history taking</w:t>
      </w:r>
      <w:r w:rsidR="002E7153">
        <w:t xml:space="preserve"> </w:t>
      </w:r>
      <w:bookmarkStart w:id="13" w:name="C420749891063310I396343T420997945138889"/>
      <w:r w:rsidR="002E7153">
        <w:t>(Bickley, 2013)</w:t>
      </w:r>
      <w:bookmarkEnd w:id="13"/>
      <w:r>
        <w:t xml:space="preserve">. Adult illnesses for </w:t>
      </w:r>
      <w:r w:rsidR="00ED74DE">
        <w:t>this</w:t>
      </w:r>
      <w:r>
        <w:t xml:space="preserve"> patient encompass:  </w:t>
      </w:r>
      <w:r w:rsidRPr="00D77E1C">
        <w:rPr>
          <w:i/>
        </w:rPr>
        <w:t>Medical</w:t>
      </w:r>
      <w:r>
        <w:t xml:space="preserve">: illnesses such as diabetes, hypertension, asthma, COPD, and hospitalizations, to name several; </w:t>
      </w:r>
      <w:r w:rsidRPr="00D77E1C">
        <w:rPr>
          <w:i/>
        </w:rPr>
        <w:t>Surgical</w:t>
      </w:r>
      <w:r>
        <w:t xml:space="preserve">: </w:t>
      </w:r>
      <w:r w:rsidR="00D77E1C">
        <w:t xml:space="preserve">including dates and types of operations; and </w:t>
      </w:r>
      <w:r w:rsidR="00D77E1C" w:rsidRPr="00D77E1C">
        <w:rPr>
          <w:i/>
        </w:rPr>
        <w:t>Psychiatric</w:t>
      </w:r>
      <w:r w:rsidR="00D77E1C" w:rsidRPr="00D77E1C">
        <w:t xml:space="preserve"> </w:t>
      </w:r>
      <w:bookmarkStart w:id="14" w:name="C420749891063310I396343T420997881018519"/>
      <w:r w:rsidR="00D77E1C">
        <w:t>(Bickley, 2013)</w:t>
      </w:r>
      <w:bookmarkEnd w:id="14"/>
      <w:r w:rsidR="00D77E1C">
        <w:t>.</w:t>
      </w:r>
      <w:r w:rsidR="002E7153">
        <w:t xml:space="preserve"> </w:t>
      </w:r>
    </w:p>
    <w:p w:rsidR="002E7153" w:rsidRDefault="002E7153" w:rsidP="00D77E1C">
      <w:pPr>
        <w:pStyle w:val="APA"/>
        <w:ind w:firstLine="0"/>
      </w:pPr>
      <w:r>
        <w:tab/>
        <w:t xml:space="preserve">Family history should include immediate relatives including parents, grandparents, siblings, children, and grandchildren. Specific to this patient, a family history of known risk factors for stroke should be explored. These are: hypertension, coronary artery disease, hyperlipidemia, stroke, diabetes, and lung disease </w:t>
      </w:r>
      <w:bookmarkStart w:id="15" w:name="C420749891063310I396343T420997996875000"/>
      <w:r>
        <w:t>(Bickley, 2013)</w:t>
      </w:r>
      <w:bookmarkEnd w:id="15"/>
      <w:r>
        <w:t>.</w:t>
      </w:r>
    </w:p>
    <w:p w:rsidR="002E7153" w:rsidRPr="002E7153" w:rsidRDefault="002E7153" w:rsidP="00024022">
      <w:pPr>
        <w:pStyle w:val="APA"/>
      </w:pPr>
      <w:r>
        <w:lastRenderedPageBreak/>
        <w:t xml:space="preserve">Personal and social history rounds out the patient history by revealing lifestyle patterns, diet and exercise – lifestyle habits that promote good health or present as risk factors </w:t>
      </w:r>
      <w:bookmarkStart w:id="16" w:name="C420749891063310I396343T420998013078704"/>
      <w:r>
        <w:t>(Bickley, 2013)</w:t>
      </w:r>
      <w:bookmarkEnd w:id="16"/>
      <w:r w:rsidR="007D3508">
        <w:t>.</w:t>
      </w:r>
    </w:p>
    <w:p w:rsidR="00D77E1C" w:rsidRDefault="007D3508" w:rsidP="00C138BA">
      <w:pPr>
        <w:pStyle w:val="APA"/>
        <w:ind w:firstLine="0"/>
        <w:jc w:val="center"/>
        <w:rPr>
          <w:b/>
        </w:rPr>
      </w:pPr>
      <w:r>
        <w:rPr>
          <w:b/>
        </w:rPr>
        <w:t>Additional Physical Exam/</w:t>
      </w:r>
      <w:r w:rsidR="00D77E1C">
        <w:rPr>
          <w:b/>
        </w:rPr>
        <w:t>Review of Systems</w:t>
      </w:r>
    </w:p>
    <w:p w:rsidR="00D77E1C" w:rsidRDefault="00D77E1C" w:rsidP="00D77E1C">
      <w:pPr>
        <w:pStyle w:val="APA"/>
        <w:ind w:firstLine="0"/>
      </w:pPr>
      <w:r>
        <w:rPr>
          <w:b/>
        </w:rPr>
        <w:tab/>
      </w:r>
      <w:r w:rsidR="00FC2E90">
        <w:t xml:space="preserve"> The p</w:t>
      </w:r>
      <w:r w:rsidR="00365249" w:rsidRPr="00FC2E90">
        <w:t xml:space="preserve">hysical exam will look for specific deficits. This patient experienced right sided weakness, so neuromuscular testing will take place.  Also, TIAs can cause vision loss, diplopia, tinnitus, hearing loss and other neuro deficits, so a complete </w:t>
      </w:r>
      <w:r w:rsidR="00FC2E90">
        <w:t>head, eyes, ears, nose, and throat, (</w:t>
      </w:r>
      <w:r w:rsidR="00365249" w:rsidRPr="00FC2E90">
        <w:t>HEENT</w:t>
      </w:r>
      <w:r w:rsidR="00FC2E90">
        <w:t>)</w:t>
      </w:r>
      <w:r w:rsidR="00365249" w:rsidRPr="00FC2E90">
        <w:t xml:space="preserve"> examination should take place</w:t>
      </w:r>
      <w:r w:rsidR="00FC2E90">
        <w:t xml:space="preserve"> </w:t>
      </w:r>
      <w:bookmarkStart w:id="17" w:name="C420599037847222I0T420998308796296"/>
      <w:r w:rsidR="00FC2E90">
        <w:t>(Nanda, 2011)</w:t>
      </w:r>
      <w:bookmarkEnd w:id="17"/>
      <w:r w:rsidR="00FC2E90">
        <w:t xml:space="preserve">.  Cardiovascular </w:t>
      </w:r>
      <w:r w:rsidR="00365249" w:rsidRPr="00FC2E90">
        <w:t>system invol</w:t>
      </w:r>
      <w:r w:rsidR="00FC2E90">
        <w:t>vement is also suspected in TIA. This can be in the form of atrial fibrillation, carotid stenosis, and vasospasm to name several</w:t>
      </w:r>
      <w:r w:rsidR="00163847">
        <w:t>,</w:t>
      </w:r>
      <w:r w:rsidR="00365249" w:rsidRPr="00FC2E90">
        <w:t xml:space="preserve"> so </w:t>
      </w:r>
      <w:r w:rsidR="00163847">
        <w:t>cardiovascular system review will be</w:t>
      </w:r>
      <w:r w:rsidR="00365249" w:rsidRPr="00FC2E90">
        <w:t xml:space="preserve"> undertaken</w:t>
      </w:r>
      <w:bookmarkStart w:id="18" w:name="C420903646064815I0T420998387962963"/>
      <w:r w:rsidR="00163847">
        <w:t xml:space="preserve"> (Hachinski &amp; Jain, 2008)</w:t>
      </w:r>
      <w:bookmarkEnd w:id="18"/>
      <w:r w:rsidR="00365249" w:rsidRPr="00FC2E90">
        <w:t>. Respiratory</w:t>
      </w:r>
      <w:r w:rsidR="00FC2E90">
        <w:t xml:space="preserve"> system will be checked to look for or rule out pulmonary embolism, and potential impact of smoking </w:t>
      </w:r>
      <w:proofErr w:type="gramStart"/>
      <w:r w:rsidR="00FC2E90">
        <w:t>vis</w:t>
      </w:r>
      <w:proofErr w:type="gramEnd"/>
      <w:r w:rsidR="00FC2E90">
        <w:t xml:space="preserve"> a vis COPD in elevating stroke/TIA risk factors. Diabetes elevates TIA risk, so endocrine system will be reviewed also</w:t>
      </w:r>
      <w:r w:rsidR="00163847">
        <w:t xml:space="preserve"> </w:t>
      </w:r>
      <w:bookmarkStart w:id="19" w:name="C420945114814815I0T420998356597222"/>
      <w:r w:rsidR="00163847">
        <w:t>(Johnston et al., 2011, and Nanda, 2011)</w:t>
      </w:r>
      <w:bookmarkEnd w:id="19"/>
      <w:r w:rsidR="00163847">
        <w:t>. The review of systems will produce pertinent positives and negatives.  Pertinent positives in this patient are right-sided weakness, hypertension, smoking, and elevated lipids. Upon further diagnostic testing, pertinent negatives will arise which will be used to rule out other possible diagnoses.</w:t>
      </w:r>
      <w:r w:rsidR="006603AC">
        <w:t xml:space="preserve"> </w:t>
      </w:r>
      <w:r w:rsidR="007A13C3">
        <w:t xml:space="preserve">These have not been observed (yet) but </w:t>
      </w:r>
      <w:r w:rsidR="007A13C3" w:rsidRPr="007A13C3">
        <w:rPr>
          <w:i/>
        </w:rPr>
        <w:t>e</w:t>
      </w:r>
      <w:r w:rsidR="006603AC" w:rsidRPr="007A13C3">
        <w:rPr>
          <w:i/>
        </w:rPr>
        <w:t>xamples</w:t>
      </w:r>
      <w:r w:rsidR="006603AC">
        <w:t xml:space="preserve"> of significant negatives for the above systems (HEENT, Neuromuscular, Cardiovascular, Respiratory, </w:t>
      </w:r>
      <w:r w:rsidR="00B43098">
        <w:t>and Endocrine</w:t>
      </w:r>
      <w:r w:rsidR="006603AC">
        <w:t>) would be:</w:t>
      </w:r>
    </w:p>
    <w:p w:rsidR="006603AC" w:rsidRDefault="006603AC" w:rsidP="00D77E1C">
      <w:pPr>
        <w:pStyle w:val="APA"/>
        <w:ind w:firstLine="0"/>
      </w:pPr>
      <w:r>
        <w:t>HEENT: No visual disturbance, no tinnitus or hearing loss, no vertigo or dizziness.</w:t>
      </w:r>
    </w:p>
    <w:p w:rsidR="006603AC" w:rsidRDefault="006603AC" w:rsidP="00D77E1C">
      <w:pPr>
        <w:pStyle w:val="APA"/>
        <w:ind w:firstLine="0"/>
      </w:pPr>
      <w:r>
        <w:t>Neuromuscular: No deficits in muscular strength, negative cranial nerve testing results.</w:t>
      </w:r>
    </w:p>
    <w:p w:rsidR="006603AC" w:rsidRDefault="006603AC" w:rsidP="00D77E1C">
      <w:pPr>
        <w:pStyle w:val="APA"/>
        <w:ind w:firstLine="0"/>
      </w:pPr>
      <w:r>
        <w:t>Cardiovascular: Blood pressure within normal limits, regular rate and rhythm, no syncope.</w:t>
      </w:r>
    </w:p>
    <w:p w:rsidR="006603AC" w:rsidRDefault="006603AC" w:rsidP="00D77E1C">
      <w:pPr>
        <w:pStyle w:val="APA"/>
        <w:ind w:firstLine="0"/>
      </w:pPr>
      <w:r>
        <w:t>Respiratory: No signs of hypoxia, SPO2 94% or better, no use of accessory muscles.</w:t>
      </w:r>
    </w:p>
    <w:p w:rsidR="006603AC" w:rsidRPr="00163847" w:rsidRDefault="006603AC" w:rsidP="00D77E1C">
      <w:pPr>
        <w:pStyle w:val="APA"/>
        <w:ind w:firstLine="0"/>
      </w:pPr>
      <w:r>
        <w:t xml:space="preserve">Endocrine: </w:t>
      </w:r>
      <w:r w:rsidR="007C1511">
        <w:t>B</w:t>
      </w:r>
      <w:r>
        <w:t>lood glucose</w:t>
      </w:r>
      <w:r w:rsidR="007C1511">
        <w:t xml:space="preserve"> within normal range</w:t>
      </w:r>
      <w:r>
        <w:t>, negative for neuropathy.</w:t>
      </w:r>
    </w:p>
    <w:p w:rsidR="00C138BA" w:rsidRDefault="007D3508" w:rsidP="00C138BA">
      <w:pPr>
        <w:pStyle w:val="APA"/>
        <w:ind w:firstLine="0"/>
        <w:jc w:val="center"/>
        <w:rPr>
          <w:b/>
        </w:rPr>
      </w:pPr>
      <w:r>
        <w:rPr>
          <w:b/>
        </w:rPr>
        <w:lastRenderedPageBreak/>
        <w:t xml:space="preserve">Diagnosis and </w:t>
      </w:r>
      <w:r w:rsidR="00163847">
        <w:rPr>
          <w:b/>
        </w:rPr>
        <w:t>Di</w:t>
      </w:r>
      <w:r w:rsidR="00C138BA">
        <w:rPr>
          <w:b/>
        </w:rPr>
        <w:t>fferentials</w:t>
      </w:r>
    </w:p>
    <w:p w:rsidR="00F1496B" w:rsidRDefault="00661B3E" w:rsidP="00661B3E">
      <w:pPr>
        <w:pStyle w:val="APA"/>
      </w:pPr>
      <w:r w:rsidRPr="00661B3E">
        <w:t>The most likely diagnosis is the s</w:t>
      </w:r>
      <w:r>
        <w:t xml:space="preserve">ame as the admitting diagnosis: </w:t>
      </w:r>
      <w:r w:rsidRPr="00661B3E">
        <w:t>transient ischemic attack (TIA)</w:t>
      </w:r>
      <w:r>
        <w:t>. This is concluded by ruling</w:t>
      </w:r>
      <w:r w:rsidR="007D3976">
        <w:t xml:space="preserve"> out the differential diagnoses; here are several of them:</w:t>
      </w:r>
    </w:p>
    <w:p w:rsidR="007D3976" w:rsidRPr="007D3976" w:rsidRDefault="007D3976" w:rsidP="007D3976">
      <w:pPr>
        <w:pStyle w:val="APA"/>
        <w:ind w:firstLine="0"/>
      </w:pPr>
      <w:r>
        <w:t xml:space="preserve">Stroke, Seizure, Hypoglycemia, and Migraine </w:t>
      </w:r>
      <w:bookmarkStart w:id="20" w:name="C420993319675926I0T421013477662037"/>
      <w:r>
        <w:t>(</w:t>
      </w:r>
      <w:proofErr w:type="spellStart"/>
      <w:r>
        <w:t>Hollier</w:t>
      </w:r>
      <w:proofErr w:type="spellEnd"/>
      <w:r>
        <w:t xml:space="preserve"> &amp; Hensley, 2011, p. 435)</w:t>
      </w:r>
      <w:bookmarkEnd w:id="20"/>
      <w:r>
        <w:t>. Ruling out the differentials requires synthesis of data from the history, review of systems and the following tests.</w:t>
      </w:r>
    </w:p>
    <w:p w:rsidR="00C138BA" w:rsidRPr="00AD31E8" w:rsidRDefault="007D3508" w:rsidP="00AD31E8">
      <w:pPr>
        <w:pStyle w:val="APA"/>
        <w:rPr>
          <w:u w:val="single"/>
        </w:rPr>
      </w:pPr>
      <w:r w:rsidRPr="00AD31E8">
        <w:rPr>
          <w:u w:val="single"/>
        </w:rPr>
        <w:t xml:space="preserve">Tests </w:t>
      </w:r>
    </w:p>
    <w:p w:rsidR="00F1496B" w:rsidRDefault="008A58BF" w:rsidP="00F1496B">
      <w:pPr>
        <w:pStyle w:val="APA"/>
      </w:pPr>
      <w:r>
        <w:t>The National Stroke Association has established guidelines for testing, including the following: “</w:t>
      </w:r>
      <w:r w:rsidR="00F1496B" w:rsidRPr="009C194C">
        <w:t>A set of routine laboratory</w:t>
      </w:r>
      <w:r w:rsidR="00F1496B">
        <w:t xml:space="preserve"> </w:t>
      </w:r>
      <w:r w:rsidR="00F1496B" w:rsidRPr="009C194C">
        <w:t>studies, including complete blood count, chemistry</w:t>
      </w:r>
    </w:p>
    <w:p w:rsidR="00F1496B" w:rsidRDefault="00F1496B" w:rsidP="008A58BF">
      <w:pPr>
        <w:pStyle w:val="APA"/>
        <w:ind w:firstLine="0"/>
      </w:pPr>
      <w:r w:rsidRPr="009C194C">
        <w:t>panel, and basic coagulation</w:t>
      </w:r>
      <w:r>
        <w:t xml:space="preserve"> </w:t>
      </w:r>
      <w:r w:rsidRPr="009C194C">
        <w:t>studies, should be performed</w:t>
      </w:r>
      <w:r>
        <w:t xml:space="preserve"> </w:t>
      </w:r>
      <w:r w:rsidRPr="009C194C">
        <w:t>fo</w:t>
      </w:r>
      <w:r w:rsidR="008A58BF">
        <w:t xml:space="preserve">r all TIA patients upon initial </w:t>
      </w:r>
      <w:r w:rsidRPr="009C194C">
        <w:t>presentation</w:t>
      </w:r>
      <w:bookmarkStart w:id="21" w:name="C420945114814815I0T421013542361111"/>
      <w:r w:rsidR="008A58BF">
        <w:t>” (Johnston et al., 2011, p. 874)</w:t>
      </w:r>
      <w:bookmarkEnd w:id="21"/>
      <w:r>
        <w:t xml:space="preserve">. </w:t>
      </w:r>
      <w:r w:rsidR="008A58BF">
        <w:t xml:space="preserve">Also, “Brain imaging should be obtained urgently. Acceptable options include either MRI or CT; however, MRI is the preferred imaging modality, because diffusion weighted imaging (DWI) facilitates the diagnosis of TIA, and DWI-positive lesions are a risk marker for early stroke recurrence” </w:t>
      </w:r>
      <w:bookmarkStart w:id="22" w:name="C420945114814815I0T421013559837963"/>
      <w:r w:rsidR="008A58BF">
        <w:t>(Johnston et al., 2011, p. 874)</w:t>
      </w:r>
      <w:bookmarkEnd w:id="22"/>
      <w:r w:rsidR="007C1511">
        <w:t>.</w:t>
      </w:r>
    </w:p>
    <w:p w:rsidR="007C1511" w:rsidRDefault="007C1511" w:rsidP="008A58BF">
      <w:pPr>
        <w:pStyle w:val="APA"/>
        <w:ind w:firstLine="0"/>
      </w:pPr>
      <w:r>
        <w:tab/>
        <w:t xml:space="preserve">Specifically, the </w:t>
      </w:r>
      <w:r w:rsidR="00337D12">
        <w:t xml:space="preserve">routine </w:t>
      </w:r>
      <w:r>
        <w:t>laboratory studies</w:t>
      </w:r>
      <w:r w:rsidR="00337D12">
        <w:t xml:space="preserve"> include, in addition to CBC: platelets, INR, ESR, glucose, lipid profile, and urinalysis </w:t>
      </w:r>
      <w:bookmarkStart w:id="23" w:name="C420993319675926I0T421013611921296"/>
      <w:r w:rsidR="00337D12">
        <w:t>(</w:t>
      </w:r>
      <w:proofErr w:type="spellStart"/>
      <w:r w:rsidR="00337D12">
        <w:t>Hollier</w:t>
      </w:r>
      <w:proofErr w:type="spellEnd"/>
      <w:r w:rsidR="00337D12">
        <w:t xml:space="preserve"> &amp; Hensley, 2011, p. 435)</w:t>
      </w:r>
      <w:bookmarkEnd w:id="23"/>
      <w:r w:rsidR="00337D12">
        <w:t xml:space="preserve">. Carotid studies (ultrasound or angiography) can reveal blockage and atherosclerosis </w:t>
      </w:r>
      <w:bookmarkStart w:id="24" w:name="C420993319675926I0T421013638078704"/>
      <w:r w:rsidR="00337D12">
        <w:t>(</w:t>
      </w:r>
      <w:proofErr w:type="spellStart"/>
      <w:r w:rsidR="00337D12">
        <w:t>Hollier</w:t>
      </w:r>
      <w:proofErr w:type="spellEnd"/>
      <w:r w:rsidR="00337D12">
        <w:t xml:space="preserve"> &amp; Hensley, 2011)</w:t>
      </w:r>
      <w:bookmarkEnd w:id="24"/>
      <w:r w:rsidR="00337D12">
        <w:t>.</w:t>
      </w:r>
    </w:p>
    <w:p w:rsidR="00337D12" w:rsidRDefault="00337D12" w:rsidP="008A58BF">
      <w:pPr>
        <w:pStyle w:val="APA"/>
        <w:ind w:firstLine="0"/>
      </w:pPr>
      <w:r>
        <w:tab/>
        <w:t xml:space="preserve">ECG can reveal cardiac involvement, and EEG can be ordered if seizure is suspected </w:t>
      </w:r>
      <w:bookmarkStart w:id="25" w:name="C420993319675926I0T421013647222222"/>
      <w:r>
        <w:t>(</w:t>
      </w:r>
      <w:proofErr w:type="spellStart"/>
      <w:r>
        <w:t>Hollier</w:t>
      </w:r>
      <w:proofErr w:type="spellEnd"/>
      <w:r>
        <w:t xml:space="preserve"> &amp; Hensley, 2011)</w:t>
      </w:r>
      <w:bookmarkEnd w:id="25"/>
      <w:r>
        <w:t>.</w:t>
      </w:r>
    </w:p>
    <w:p w:rsidR="00337D12" w:rsidRDefault="00AD31E8" w:rsidP="008A58BF">
      <w:pPr>
        <w:pStyle w:val="APA"/>
        <w:ind w:firstLine="0"/>
        <w:rPr>
          <w:u w:val="single"/>
        </w:rPr>
      </w:pPr>
      <w:r>
        <w:tab/>
      </w:r>
      <w:r w:rsidRPr="00AD31E8">
        <w:rPr>
          <w:u w:val="single"/>
        </w:rPr>
        <w:t>Ruling in/ruling out differentials</w:t>
      </w:r>
    </w:p>
    <w:p w:rsidR="00AD31E8" w:rsidRDefault="00AD31E8" w:rsidP="008A58BF">
      <w:pPr>
        <w:pStyle w:val="APA"/>
        <w:ind w:firstLine="0"/>
      </w:pPr>
      <w:r w:rsidRPr="00AD31E8">
        <w:tab/>
      </w:r>
      <w:r w:rsidR="006717F1">
        <w:t>Stroke:  This patient likely had a TIA vs. a stroke, given the evidence. Stroke presents with a longer duration of the patient’s reported symptoms than TIA, and does not resolve.</w:t>
      </w:r>
      <w:r w:rsidR="00B06DE0">
        <w:t xml:space="preserve"> TIAs can last from minutes to under 24 hours </w:t>
      </w:r>
      <w:bookmarkStart w:id="26" w:name="C420599037847222I0T421014591550926"/>
      <w:r w:rsidR="00B06DE0">
        <w:t>(Nanda, 2011)</w:t>
      </w:r>
      <w:bookmarkEnd w:id="26"/>
      <w:r w:rsidR="00B06DE0">
        <w:t xml:space="preserve">; </w:t>
      </w:r>
      <w:r w:rsidR="003001A8">
        <w:t>ischemic</w:t>
      </w:r>
      <w:r w:rsidR="00B06DE0">
        <w:t xml:space="preserve"> and </w:t>
      </w:r>
      <w:r w:rsidR="003001A8">
        <w:t>hemorrhagic</w:t>
      </w:r>
      <w:r w:rsidR="00B06DE0">
        <w:t xml:space="preserve"> strokes are </w:t>
      </w:r>
      <w:r w:rsidR="00B06DE0">
        <w:lastRenderedPageBreak/>
        <w:t>accompanied by severe headache, nausea, and syncope</w:t>
      </w:r>
      <w:bookmarkStart w:id="27" w:name="C421014667824074I0T421014684606481"/>
      <w:r w:rsidR="003001A8">
        <w:t xml:space="preserve"> (</w:t>
      </w:r>
      <w:proofErr w:type="spellStart"/>
      <w:r w:rsidR="003001A8">
        <w:t>Liebeskind</w:t>
      </w:r>
      <w:proofErr w:type="spellEnd"/>
      <w:r w:rsidR="003001A8">
        <w:t>, 2015)</w:t>
      </w:r>
      <w:bookmarkEnd w:id="27"/>
      <w:r w:rsidR="00B06DE0">
        <w:t xml:space="preserve">. </w:t>
      </w:r>
      <w:r w:rsidR="003001A8">
        <w:t xml:space="preserve">The </w:t>
      </w:r>
      <w:r w:rsidR="003001A8" w:rsidRPr="00E94FE5">
        <w:rPr>
          <w:b/>
          <w:i/>
        </w:rPr>
        <w:t xml:space="preserve">risk </w:t>
      </w:r>
      <w:r w:rsidR="003001A8" w:rsidRPr="00E94FE5">
        <w:rPr>
          <w:i/>
        </w:rPr>
        <w:t>of having a stroke is considerable following a TIA</w:t>
      </w:r>
      <w:r w:rsidR="003001A8">
        <w:t xml:space="preserve">, and the patient will be monitored for such.  CT scan or MRI can definitely rule out stroke </w:t>
      </w:r>
      <w:bookmarkStart w:id="28" w:name="C420945114814815I0T421014690509259"/>
      <w:r w:rsidR="003001A8">
        <w:t>(Johnston et al., 2011)</w:t>
      </w:r>
      <w:bookmarkEnd w:id="28"/>
      <w:r w:rsidR="003001A8">
        <w:t>.</w:t>
      </w:r>
    </w:p>
    <w:p w:rsidR="002D0AAC" w:rsidRDefault="002D0AAC" w:rsidP="008A58BF">
      <w:pPr>
        <w:pStyle w:val="APA"/>
        <w:ind w:firstLine="0"/>
      </w:pPr>
      <w:r>
        <w:tab/>
        <w:t xml:space="preserve">Seizure: At this juncture, seizure cannot be ruled out.  An EEG can be performed which will identify, along with CT, or MRI, unusual brain electrical activity, structural anomaly, or circulatory/vascular anomalies </w:t>
      </w:r>
      <w:bookmarkStart w:id="29" w:name="C421014760879630I0T421014777662037"/>
      <w:r>
        <w:t>("Neuro tests," 2015)</w:t>
      </w:r>
      <w:bookmarkEnd w:id="29"/>
      <w:r>
        <w:t>.  The presentation of this patient indicates more strongly for TIA; unless history of seizure combined with aforementioned tests are positive for seizure</w:t>
      </w:r>
      <w:r w:rsidR="001D3787">
        <w:t>.</w:t>
      </w:r>
    </w:p>
    <w:p w:rsidR="001D3787" w:rsidRDefault="001D3787" w:rsidP="008A58BF">
      <w:pPr>
        <w:pStyle w:val="APA"/>
        <w:ind w:firstLine="0"/>
      </w:pPr>
      <w:r>
        <w:tab/>
      </w:r>
      <w:r w:rsidR="006B3E99">
        <w:t>Hypoglycemia:</w:t>
      </w:r>
      <w:r w:rsidR="00527163">
        <w:t xml:space="preserve"> Hypoglycemia is low blood sugar, and seizure-like or convulsive episodes are known to occur. Also accompanying hypoglycemia is headache, confusion, and blurred vision </w:t>
      </w:r>
      <w:bookmarkStart w:id="30" w:name="C420993319675926I0T421014925000000"/>
      <w:r w:rsidR="00527163">
        <w:t>(</w:t>
      </w:r>
      <w:proofErr w:type="spellStart"/>
      <w:r w:rsidR="00527163">
        <w:t>Hollier</w:t>
      </w:r>
      <w:proofErr w:type="spellEnd"/>
      <w:r w:rsidR="00527163">
        <w:t xml:space="preserve"> &amp; Hensley, 2011, p. 239)</w:t>
      </w:r>
      <w:bookmarkEnd w:id="30"/>
      <w:r w:rsidR="00527163">
        <w:t>. The patient is not known as yet to be diabetic, nor has he a known history o</w:t>
      </w:r>
      <w:r w:rsidR="004B0D29">
        <w:t>f hypoglycemia. Glucose testing, though not definitive, is a strong indicator for ruling in or out hypoglycemia as cause.  Ultimately, hypoglycemia is ruled out because it does not accompany the right sided weakness experienced by the patient, nor does it resolve of its own accord.</w:t>
      </w:r>
    </w:p>
    <w:p w:rsidR="004B0D29" w:rsidRDefault="004B0D29" w:rsidP="008A58BF">
      <w:pPr>
        <w:pStyle w:val="APA"/>
        <w:ind w:firstLine="0"/>
      </w:pPr>
      <w:r>
        <w:tab/>
        <w:t xml:space="preserve">Migraine: Migraine headache </w:t>
      </w:r>
      <w:r w:rsidR="002F0392">
        <w:t xml:space="preserve">can mimic TIA; the symptoms can be very similar. Changes in vision can occur in both, but visual changes tend to be more dynamic in migraine </w:t>
      </w:r>
      <w:bookmarkStart w:id="31" w:name="C421015038541667I0T421015057870370"/>
      <w:r w:rsidR="002F0392">
        <w:t>("Migraine and TIA," 2015)</w:t>
      </w:r>
      <w:bookmarkEnd w:id="31"/>
      <w:r w:rsidR="002F0392">
        <w:t xml:space="preserve">. The difference between migraine and TIA is the onset of symptoms; migraines typically come gradually, whereas the symptoms of TIA are sudden. They include: </w:t>
      </w:r>
      <w:r w:rsidR="002F0392" w:rsidRPr="00820261">
        <w:rPr>
          <w:i/>
        </w:rPr>
        <w:t>Sudden</w:t>
      </w:r>
      <w:r w:rsidR="002F0392">
        <w:t xml:space="preserve"> weakness of body parts, particularly one-sided; </w:t>
      </w:r>
      <w:r w:rsidR="002F0392" w:rsidRPr="00820261">
        <w:rPr>
          <w:i/>
        </w:rPr>
        <w:t>sudden</w:t>
      </w:r>
      <w:r w:rsidR="002F0392">
        <w:t xml:space="preserve"> confusion</w:t>
      </w:r>
      <w:r w:rsidR="00F530F6">
        <w:t xml:space="preserve">; </w:t>
      </w:r>
      <w:r w:rsidR="00F530F6" w:rsidRPr="00820261">
        <w:rPr>
          <w:i/>
        </w:rPr>
        <w:t>sudden</w:t>
      </w:r>
      <w:r w:rsidR="00F530F6">
        <w:t xml:space="preserve"> visual problems; and </w:t>
      </w:r>
      <w:r w:rsidR="00F530F6" w:rsidRPr="00820261">
        <w:rPr>
          <w:i/>
        </w:rPr>
        <w:t>sudden</w:t>
      </w:r>
      <w:r w:rsidR="00F530F6">
        <w:t xml:space="preserve"> dizziness </w:t>
      </w:r>
      <w:bookmarkStart w:id="32" w:name="C421015038541667I0T421015085995370"/>
      <w:r w:rsidR="00F530F6">
        <w:t>("Migraine and TIA," 2015, para. 4)</w:t>
      </w:r>
      <w:bookmarkEnd w:id="32"/>
      <w:r w:rsidR="00F530F6">
        <w:t>. The patient’s symptoms more clearly reflect TIA than migraine, thus ruling out migraine.</w:t>
      </w:r>
    </w:p>
    <w:p w:rsidR="000F57A9" w:rsidRDefault="000F57A9" w:rsidP="00BA7839">
      <w:pPr>
        <w:pStyle w:val="APA"/>
        <w:ind w:firstLine="0"/>
        <w:jc w:val="center"/>
        <w:rPr>
          <w:b/>
        </w:rPr>
      </w:pPr>
    </w:p>
    <w:p w:rsidR="000F57A9" w:rsidRPr="00BA7839" w:rsidRDefault="00BA7839" w:rsidP="00996D5E">
      <w:pPr>
        <w:pStyle w:val="APA"/>
        <w:ind w:firstLine="0"/>
        <w:jc w:val="center"/>
        <w:rPr>
          <w:b/>
        </w:rPr>
      </w:pPr>
      <w:r w:rsidRPr="00BA7839">
        <w:rPr>
          <w:b/>
        </w:rPr>
        <w:lastRenderedPageBreak/>
        <w:t>Plan</w:t>
      </w:r>
    </w:p>
    <w:p w:rsidR="00F1496B" w:rsidRPr="008D2443" w:rsidRDefault="000F57A9" w:rsidP="00996D5E">
      <w:pPr>
        <w:pStyle w:val="APA"/>
      </w:pPr>
      <w:r>
        <w:rPr>
          <w:u w:val="single"/>
        </w:rPr>
        <w:t>Short term:</w:t>
      </w:r>
      <w:r w:rsidRPr="00996D5E">
        <w:t xml:space="preserve"> </w:t>
      </w:r>
      <w:r w:rsidR="008D2443" w:rsidRPr="00996D5E">
        <w:t xml:space="preserve"> </w:t>
      </w:r>
      <w:r w:rsidR="008D2443">
        <w:t>Short-term planning for our patient will be determined by the outcomes of his diagnostic testing. Monitoring for stroke is key shortly after a TIA</w:t>
      </w:r>
      <w:bookmarkStart w:id="33" w:name="C420598957291667I0T421015955092593"/>
      <w:r w:rsidR="008D2443">
        <w:t xml:space="preserve"> (Johnston et al., 2006)</w:t>
      </w:r>
      <w:bookmarkEnd w:id="33"/>
      <w:r w:rsidR="008D2443">
        <w:t xml:space="preserve">. CT/MRI can direct </w:t>
      </w:r>
      <w:r w:rsidR="00834B54">
        <w:t xml:space="preserve">the </w:t>
      </w:r>
      <w:r w:rsidR="008D2443">
        <w:t xml:space="preserve">course of action by helping determine the type of medication if any should be introduced.  Aspirin therapy is indicated as a first-line measure, possibly </w:t>
      </w:r>
      <w:proofErr w:type="spellStart"/>
      <w:r w:rsidR="00383835">
        <w:t>c</w:t>
      </w:r>
      <w:r w:rsidR="008D2443">
        <w:t>lopidogrel</w:t>
      </w:r>
      <w:proofErr w:type="spellEnd"/>
      <w:r w:rsidR="008D2443">
        <w:t xml:space="preserve"> </w:t>
      </w:r>
      <w:bookmarkStart w:id="34" w:name="C420903646064815I0T421015948611111"/>
      <w:r w:rsidR="008D2443">
        <w:t>(Hachinski &amp; Jain, 2008)</w:t>
      </w:r>
      <w:bookmarkEnd w:id="34"/>
      <w:r w:rsidR="008D2443">
        <w:t xml:space="preserve">. </w:t>
      </w:r>
      <w:r w:rsidR="0076357B">
        <w:t xml:space="preserve">INR and </w:t>
      </w:r>
      <w:r w:rsidR="008D2443">
        <w:t xml:space="preserve">ECG results will indicate </w:t>
      </w:r>
      <w:r w:rsidR="0076357B">
        <w:t xml:space="preserve">embolic and </w:t>
      </w:r>
      <w:r w:rsidR="008D2443">
        <w:t>cardiac involvement (such as a</w:t>
      </w:r>
      <w:r w:rsidR="00834B54">
        <w:t xml:space="preserve">trial </w:t>
      </w:r>
      <w:r w:rsidR="008D2443">
        <w:t xml:space="preserve">fibrillation), perhaps resulting in </w:t>
      </w:r>
      <w:r w:rsidR="00834B54">
        <w:t>administration</w:t>
      </w:r>
      <w:r w:rsidR="008D2443">
        <w:t xml:space="preserve"> of warfarin</w:t>
      </w:r>
      <w:r w:rsidR="00834B54">
        <w:t xml:space="preserve"> </w:t>
      </w:r>
      <w:bookmarkStart w:id="35" w:name="C420598957291667I0T421017041782407"/>
      <w:r w:rsidR="00834B54">
        <w:t>(Johnston et al., 2006)</w:t>
      </w:r>
      <w:bookmarkEnd w:id="35"/>
      <w:r w:rsidR="008D2443">
        <w:t>.</w:t>
      </w:r>
    </w:p>
    <w:p w:rsidR="00F1496B" w:rsidRDefault="00996D5E" w:rsidP="005822C9">
      <w:pPr>
        <w:pStyle w:val="APA"/>
      </w:pPr>
      <w:r w:rsidRPr="00996D5E">
        <w:rPr>
          <w:u w:val="single"/>
        </w:rPr>
        <w:t>Longer Term</w:t>
      </w:r>
      <w:r w:rsidRPr="005822C9">
        <w:rPr>
          <w:u w:val="single"/>
        </w:rPr>
        <w:t>:</w:t>
      </w:r>
      <w:r w:rsidR="005822C9" w:rsidRPr="005822C9">
        <w:t xml:space="preserve"> This patient has a number of risk fa</w:t>
      </w:r>
      <w:r w:rsidR="005822C9">
        <w:t>ctors that require intervention. The American Heart Association asserts, “</w:t>
      </w:r>
      <w:r w:rsidR="005822C9">
        <w:t>Because patients with TIA have a substantial frequency of coexistent heart disease</w:t>
      </w:r>
      <w:r w:rsidR="005822C9">
        <w:t xml:space="preserve"> </w:t>
      </w:r>
      <w:r w:rsidR="005822C9">
        <w:t>that may shorten life expectancy and cause marked morbidity, the potential presence</w:t>
      </w:r>
      <w:r w:rsidR="005822C9">
        <w:t xml:space="preserve"> </w:t>
      </w:r>
      <w:r w:rsidR="005822C9">
        <w:t>of coronary artery disease, cardiac arrhythmias, congestive heart failure, and valvular</w:t>
      </w:r>
      <w:r w:rsidR="005822C9">
        <w:t xml:space="preserve"> </w:t>
      </w:r>
      <w:r w:rsidR="005822C9">
        <w:t>heart disease should be considered and treated appropriately</w:t>
      </w:r>
      <w:r w:rsidR="005822C9">
        <w:t>”</w:t>
      </w:r>
      <w:bookmarkStart w:id="36" w:name="C420598957291667I0T421017355787037"/>
      <w:r w:rsidR="005822C9">
        <w:t xml:space="preserve"> (as cited in, Johnston et al., 2006, p. 309)</w:t>
      </w:r>
      <w:bookmarkEnd w:id="36"/>
      <w:r w:rsidR="005822C9">
        <w:t xml:space="preserve">. This will include the monitoring/lowering of blood pressure and blood cholesterol.  Diet and exercise modifications can be introduced, along with introduction of medications such as an ACE inhibitor and a statin </w:t>
      </w:r>
      <w:bookmarkStart w:id="37" w:name="C420598957291667I0T421017374768518"/>
      <w:r w:rsidR="005822C9">
        <w:t>(Johnston et al., 2006)</w:t>
      </w:r>
      <w:bookmarkEnd w:id="37"/>
      <w:r w:rsidR="005822C9">
        <w:t>.</w:t>
      </w:r>
      <w:r w:rsidR="00075F21">
        <w:t xml:space="preserve"> Smoking cessation must be stressed for this patient, along with monitoring of lipids, blood pressure, and medication compliance </w:t>
      </w:r>
      <w:bookmarkStart w:id="38" w:name="C420945114814815I0T421017413773148"/>
      <w:r w:rsidR="00075F21">
        <w:t>(Johnston et al., 2011)</w:t>
      </w:r>
      <w:bookmarkEnd w:id="38"/>
      <w:r w:rsidR="00075F21">
        <w:t>.</w:t>
      </w:r>
    </w:p>
    <w:p w:rsidR="00075F21" w:rsidRPr="006725F2" w:rsidRDefault="00075F21" w:rsidP="005822C9">
      <w:pPr>
        <w:pStyle w:val="APA"/>
      </w:pPr>
      <w:r>
        <w:t xml:space="preserve">The US Preventative Task Force recommends depression screening for individuals in this age category, along with ongoing diabetes </w:t>
      </w:r>
      <w:r w:rsidR="006725F2">
        <w:t xml:space="preserve">screening, cognitive impairment testing, and abuse of alcohol and drugs </w:t>
      </w:r>
      <w:bookmarkStart w:id="39" w:name="C421017470023148I0T421017484143519"/>
      <w:r w:rsidR="006725F2">
        <w:t>("Recommendations," 2015)</w:t>
      </w:r>
      <w:bookmarkEnd w:id="39"/>
      <w:r w:rsidR="00D871E2">
        <w:t>.</w:t>
      </w:r>
    </w:p>
    <w:p w:rsidR="00F1496B" w:rsidRDefault="00F1496B" w:rsidP="00C138BA">
      <w:pPr>
        <w:pStyle w:val="APA"/>
        <w:ind w:firstLine="0"/>
        <w:jc w:val="center"/>
        <w:rPr>
          <w:b/>
        </w:rPr>
      </w:pPr>
    </w:p>
    <w:p w:rsidR="006725F2" w:rsidRDefault="006725F2" w:rsidP="00C138BA">
      <w:pPr>
        <w:pStyle w:val="APA"/>
        <w:ind w:firstLine="0"/>
        <w:jc w:val="center"/>
        <w:rPr>
          <w:b/>
        </w:rPr>
      </w:pPr>
    </w:p>
    <w:p w:rsidR="006725F2" w:rsidRPr="00C138BA" w:rsidRDefault="006725F2" w:rsidP="00C138BA">
      <w:pPr>
        <w:pStyle w:val="APA"/>
        <w:ind w:firstLine="0"/>
        <w:jc w:val="center"/>
        <w:rPr>
          <w:b/>
        </w:rPr>
      </w:pPr>
    </w:p>
    <w:p w:rsidR="00C138BA" w:rsidRDefault="002E4988" w:rsidP="00003592">
      <w:pPr>
        <w:pStyle w:val="APA"/>
        <w:ind w:firstLine="0"/>
        <w:jc w:val="center"/>
        <w:rPr>
          <w:b/>
        </w:rPr>
      </w:pPr>
      <w:r w:rsidRPr="002E4988">
        <w:rPr>
          <w:b/>
        </w:rPr>
        <w:lastRenderedPageBreak/>
        <w:t>Immunizations</w:t>
      </w:r>
    </w:p>
    <w:p w:rsidR="000F57A9" w:rsidRDefault="002E0B9D" w:rsidP="0087446E">
      <w:pPr>
        <w:pStyle w:val="APA"/>
      </w:pPr>
      <w:r>
        <w:t>The Center for Disease Control’s Advisory Committee for Immunization Practices (ACIP) sets recommendations for immunization schedules. As per ACIP guidelines, r</w:t>
      </w:r>
      <w:r w:rsidRPr="002E0B9D">
        <w:t xml:space="preserve">ecommended immunizations for this patient are, flu vaccine, shingles zoster, pneumococcal PCV13, or possibly PPSV23 if there is record of having had a </w:t>
      </w:r>
      <w:r>
        <w:t>prior PVC13</w:t>
      </w:r>
      <w:bookmarkStart w:id="40" w:name="C420993401967593I0T421017136574074"/>
      <w:r w:rsidR="0087446E">
        <w:t xml:space="preserve"> ("ACIP," 2015)</w:t>
      </w:r>
      <w:bookmarkEnd w:id="40"/>
      <w:r w:rsidR="0087446E">
        <w:t>.   Tdap boosters should be every 10 years; the patient’s records should be checked for Tdap</w:t>
      </w:r>
      <w:r w:rsidRPr="002E0B9D">
        <w:t xml:space="preserve">. </w:t>
      </w:r>
      <w:r w:rsidR="0087446E">
        <w:t>Also, a v</w:t>
      </w:r>
      <w:r w:rsidRPr="002E0B9D">
        <w:t>aricella if there is no documentation</w:t>
      </w:r>
      <w:r w:rsidR="0087446E">
        <w:t xml:space="preserve"> </w:t>
      </w:r>
      <w:bookmarkStart w:id="41" w:name="C420993401967593I0T421017133564815"/>
      <w:r w:rsidR="0087446E">
        <w:t>("ACIP," 2015)</w:t>
      </w:r>
      <w:bookmarkEnd w:id="41"/>
      <w:r w:rsidR="0087446E">
        <w:t>.</w:t>
      </w:r>
    </w:p>
    <w:p w:rsidR="0087446E" w:rsidRPr="0087446E" w:rsidRDefault="0087446E" w:rsidP="000F57A9">
      <w:pPr>
        <w:pStyle w:val="APA"/>
        <w:ind w:firstLine="0"/>
      </w:pPr>
      <w:r>
        <w:tab/>
        <w:t xml:space="preserve">For this particular </w:t>
      </w:r>
      <w:r w:rsidR="00F926A4">
        <w:t>hospitalization</w:t>
      </w:r>
      <w:bookmarkStart w:id="42" w:name="_GoBack"/>
      <w:bookmarkEnd w:id="42"/>
      <w:r>
        <w:t xml:space="preserve">, influenza vaccine is recommended for the patient </w:t>
      </w:r>
      <w:bookmarkStart w:id="43" w:name="C421017148148148I0T421017183680556"/>
      <w:r>
        <w:t>(Ovbiaqele et al., 2009)</w:t>
      </w:r>
      <w:bookmarkEnd w:id="43"/>
      <w:r>
        <w:t>.</w:t>
      </w:r>
    </w:p>
    <w:p w:rsidR="00182883" w:rsidRPr="005765EB" w:rsidRDefault="002E4988" w:rsidP="005765EB">
      <w:pPr>
        <w:pStyle w:val="APA"/>
        <w:ind w:firstLine="0"/>
        <w:jc w:val="center"/>
        <w:rPr>
          <w:b/>
        </w:rPr>
      </w:pPr>
      <w:r w:rsidRPr="002E4988">
        <w:rPr>
          <w:b/>
        </w:rPr>
        <w:t>Teaching and Follow-up</w:t>
      </w:r>
    </w:p>
    <w:p w:rsidR="0063611B" w:rsidRPr="00097BC4" w:rsidRDefault="007D457E" w:rsidP="0063611B">
      <w:pPr>
        <w:pStyle w:val="APA"/>
      </w:pPr>
      <w:r>
        <w:t xml:space="preserve">Teaching for this patient centers </w:t>
      </w:r>
      <w:r w:rsidR="005765EB">
        <w:t>on</w:t>
      </w:r>
      <w:r>
        <w:t xml:space="preserve"> lifestyle modifications including smoking cessation, healthy diet, lowering of lipids,</w:t>
      </w:r>
      <w:r w:rsidR="005765EB">
        <w:t xml:space="preserve"> and</w:t>
      </w:r>
      <w:r>
        <w:t xml:space="preserve"> </w:t>
      </w:r>
      <w:r w:rsidR="005765EB">
        <w:t>medication compliance.</w:t>
      </w:r>
      <w:r>
        <w:t xml:space="preserve"> </w:t>
      </w:r>
      <w:r w:rsidR="005765EB">
        <w:t>Guidelines recommend f</w:t>
      </w:r>
      <w:r w:rsidR="009D2C3E">
        <w:t>ollow up every 3 mo</w:t>
      </w:r>
      <w:r w:rsidR="005765EB">
        <w:t>nths with visit; cardiac monitoring (ECG for arrhythmia)</w:t>
      </w:r>
      <w:r w:rsidR="009D2C3E">
        <w:t>, hypertension</w:t>
      </w:r>
      <w:r w:rsidR="005765EB">
        <w:t xml:space="preserve"> control</w:t>
      </w:r>
      <w:r w:rsidR="009D2C3E">
        <w:t>, lipids</w:t>
      </w:r>
      <w:r w:rsidR="005765EB">
        <w:t xml:space="preserve"> monitoring and control</w:t>
      </w:r>
      <w:r w:rsidR="009D2C3E">
        <w:t xml:space="preserve">, ACE </w:t>
      </w:r>
      <w:r w:rsidR="00023B07">
        <w:t>inhibitors</w:t>
      </w:r>
      <w:r w:rsidR="00097BC4">
        <w:t xml:space="preserve">, or other blood pressure medication </w:t>
      </w:r>
      <w:bookmarkStart w:id="44" w:name="C420903646064815I0T421017741203704"/>
      <w:r w:rsidR="00097BC4">
        <w:t>(Hachinski &amp; Jain, 2008)</w:t>
      </w:r>
      <w:bookmarkEnd w:id="44"/>
      <w:r w:rsidR="00097BC4">
        <w:t>. Education for patient and family must concentrate on medication compliance, since this has been a failed issue in the past. Compliance will directly affect the primary risk factors for this patient.</w:t>
      </w:r>
    </w:p>
    <w:p w:rsidR="00D4216B" w:rsidRDefault="00D4216B">
      <w:pPr>
        <w:overflowPunct/>
        <w:autoSpaceDE/>
        <w:autoSpaceDN/>
        <w:adjustRightInd/>
        <w:textAlignment w:val="auto"/>
      </w:pPr>
    </w:p>
    <w:p w:rsidR="00AB731D" w:rsidRPr="00AB731D" w:rsidRDefault="00AB731D" w:rsidP="00AB731D">
      <w:pPr>
        <w:overflowPunct/>
        <w:autoSpaceDE/>
        <w:autoSpaceDN/>
        <w:adjustRightInd/>
        <w:textAlignment w:val="auto"/>
        <w:rPr>
          <w:sz w:val="24"/>
        </w:rPr>
      </w:pPr>
      <w:r w:rsidRPr="00AB731D">
        <w:rPr>
          <w:sz w:val="24"/>
        </w:rPr>
        <w:t>“I pledge to support the Honor System of Old Dominion University. I will refrain from any form of academic dishonesty or deception, such as cheating or plagiarism. I am aware that as a member of the academic community it is responsibility to turn in all suspected violators of the Honor Code. I will report to a hearing if summoned.”</w:t>
      </w:r>
    </w:p>
    <w:p w:rsidR="00AB731D" w:rsidRPr="00AB731D" w:rsidRDefault="00AB731D" w:rsidP="00AB731D">
      <w:pPr>
        <w:tabs>
          <w:tab w:val="left" w:pos="3975"/>
        </w:tabs>
        <w:overflowPunct/>
        <w:autoSpaceDE/>
        <w:autoSpaceDN/>
        <w:adjustRightInd/>
        <w:textAlignment w:val="auto"/>
        <w:rPr>
          <w:sz w:val="24"/>
        </w:rPr>
      </w:pPr>
      <w:r w:rsidRPr="00AB731D">
        <w:rPr>
          <w:sz w:val="24"/>
        </w:rPr>
        <w:tab/>
      </w:r>
    </w:p>
    <w:p w:rsidR="00AB731D" w:rsidRPr="00AB731D" w:rsidRDefault="00AB731D" w:rsidP="00AB731D">
      <w:pPr>
        <w:overflowPunct/>
        <w:autoSpaceDE/>
        <w:autoSpaceDN/>
        <w:adjustRightInd/>
        <w:textAlignment w:val="auto"/>
        <w:rPr>
          <w:sz w:val="24"/>
        </w:rPr>
      </w:pPr>
      <w:r w:rsidRPr="00AB731D">
        <w:rPr>
          <w:sz w:val="24"/>
        </w:rPr>
        <w:tab/>
        <w:t xml:space="preserve">Name: _____Clarke </w:t>
      </w:r>
      <w:r>
        <w:rPr>
          <w:sz w:val="24"/>
        </w:rPr>
        <w:t>Krugman 4/7/2015</w:t>
      </w:r>
      <w:r w:rsidRPr="00AB731D">
        <w:rPr>
          <w:sz w:val="24"/>
        </w:rPr>
        <w:t>______________________________________</w:t>
      </w:r>
    </w:p>
    <w:p w:rsidR="006725F2" w:rsidRPr="00AB731D" w:rsidRDefault="006725F2">
      <w:pPr>
        <w:overflowPunct/>
        <w:autoSpaceDE/>
        <w:autoSpaceDN/>
        <w:adjustRightInd/>
        <w:textAlignment w:val="auto"/>
        <w:rPr>
          <w:sz w:val="24"/>
        </w:rPr>
      </w:pPr>
      <w:r w:rsidRPr="00AB731D">
        <w:rPr>
          <w:sz w:val="24"/>
        </w:rPr>
        <w:br w:type="page"/>
      </w:r>
    </w:p>
    <w:p w:rsidR="006725F2" w:rsidRDefault="006725F2" w:rsidP="006725F2">
      <w:pPr>
        <w:pStyle w:val="APAHeadingCenterIncludedInTOC"/>
      </w:pPr>
      <w:r>
        <w:lastRenderedPageBreak/>
        <w:t>References</w:t>
      </w:r>
    </w:p>
    <w:p w:rsidR="006725F2" w:rsidRDefault="006725F2" w:rsidP="006725F2">
      <w:pPr>
        <w:pStyle w:val="APAReference"/>
      </w:pPr>
      <w:bookmarkStart w:id="45" w:name="R420749891063310I396343"/>
      <w:proofErr w:type="spellStart"/>
      <w:r>
        <w:t>Bickley</w:t>
      </w:r>
      <w:proofErr w:type="spellEnd"/>
      <w:r>
        <w:t xml:space="preserve">, L. S. (2013). </w:t>
      </w:r>
      <w:r>
        <w:rPr>
          <w:i/>
        </w:rPr>
        <w:t>Guide to physical examination and history taking</w:t>
      </w:r>
      <w:r>
        <w:t xml:space="preserve"> (11th </w:t>
      </w:r>
      <w:proofErr w:type="gramStart"/>
      <w:r>
        <w:t>ed</w:t>
      </w:r>
      <w:proofErr w:type="gramEnd"/>
      <w:r>
        <w:t>.). Philadelphia, PA: Wolters Kluwer Health | Lippincott Williams &amp; Wilkins.</w:t>
      </w:r>
      <w:bookmarkEnd w:id="45"/>
    </w:p>
    <w:p w:rsidR="006725F2" w:rsidRDefault="006725F2" w:rsidP="006725F2">
      <w:pPr>
        <w:pStyle w:val="APAReference"/>
      </w:pPr>
      <w:bookmarkStart w:id="46" w:name="R420993432407407I0"/>
      <w:r>
        <w:t xml:space="preserve">Easton, J. D., Saver, J. L., Albers, G. W., </w:t>
      </w:r>
      <w:proofErr w:type="spellStart"/>
      <w:r>
        <w:t>Alberts</w:t>
      </w:r>
      <w:proofErr w:type="spellEnd"/>
      <w:r>
        <w:t xml:space="preserve">, M. J., </w:t>
      </w:r>
      <w:proofErr w:type="spellStart"/>
      <w:r>
        <w:t>Chaturvedi</w:t>
      </w:r>
      <w:proofErr w:type="spellEnd"/>
      <w:r>
        <w:t xml:space="preserve">, S., </w:t>
      </w:r>
      <w:proofErr w:type="spellStart"/>
      <w:r>
        <w:t>Feldmann</w:t>
      </w:r>
      <w:proofErr w:type="spellEnd"/>
      <w:r>
        <w:t xml:space="preserve">, E., ... Sacco, R. L. (2009, June). AHA/ASA Scientific Statement: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 </w:t>
      </w:r>
      <w:r>
        <w:rPr>
          <w:i/>
        </w:rPr>
        <w:t>Stroke</w:t>
      </w:r>
      <w:r>
        <w:t xml:space="preserve">, </w:t>
      </w:r>
      <w:r>
        <w:rPr>
          <w:i/>
        </w:rPr>
        <w:t>40</w:t>
      </w:r>
      <w:r>
        <w:t>, 2276-2293. http://dx.doi.org/10.1161/STROKEAHA.108.192218</w:t>
      </w:r>
      <w:bookmarkEnd w:id="46"/>
    </w:p>
    <w:p w:rsidR="006725F2" w:rsidRDefault="006725F2" w:rsidP="006725F2">
      <w:pPr>
        <w:pStyle w:val="APAReference"/>
      </w:pPr>
      <w:bookmarkStart w:id="47" w:name="R420903646064815I0"/>
      <w:r>
        <w:t>Hachinski, V., &amp; Jain, V. (2008). Transient ischemic attack (</w:t>
      </w:r>
      <w:proofErr w:type="spellStart"/>
      <w:proofErr w:type="gramStart"/>
      <w:r>
        <w:t>tia</w:t>
      </w:r>
      <w:proofErr w:type="spellEnd"/>
      <w:proofErr w:type="gramEnd"/>
      <w:r>
        <w:t xml:space="preserve">). In F. J. Domino (Ed.), </w:t>
      </w:r>
      <w:proofErr w:type="gramStart"/>
      <w:r>
        <w:rPr>
          <w:i/>
        </w:rPr>
        <w:t>The</w:t>
      </w:r>
      <w:proofErr w:type="gramEnd"/>
      <w:r>
        <w:rPr>
          <w:i/>
        </w:rPr>
        <w:t xml:space="preserve"> 5-minute clinical consult</w:t>
      </w:r>
      <w:r>
        <w:t xml:space="preserve"> (16th ed., pp. 1290-1291). Philadelphia, PA: Wolters Kluwer.</w:t>
      </w:r>
      <w:bookmarkEnd w:id="47"/>
    </w:p>
    <w:p w:rsidR="006725F2" w:rsidRDefault="006725F2" w:rsidP="006725F2">
      <w:pPr>
        <w:pStyle w:val="APAReference"/>
      </w:pPr>
      <w:bookmarkStart w:id="48" w:name="R420993319675926I0"/>
      <w:proofErr w:type="spellStart"/>
      <w:r>
        <w:t>Hollier</w:t>
      </w:r>
      <w:proofErr w:type="spellEnd"/>
      <w:r>
        <w:t xml:space="preserve">, A., &amp; Hensley, R. (2011). </w:t>
      </w:r>
      <w:r>
        <w:rPr>
          <w:i/>
        </w:rPr>
        <w:t>Clinical guidelines in primary care: A reference and review book</w:t>
      </w:r>
      <w:r>
        <w:t>. Lafayette, LA: Advanced Practice Education Associates.</w:t>
      </w:r>
      <w:bookmarkEnd w:id="48"/>
    </w:p>
    <w:p w:rsidR="006725F2" w:rsidRDefault="006725F2" w:rsidP="006725F2">
      <w:pPr>
        <w:pStyle w:val="APAReference"/>
      </w:pPr>
      <w:bookmarkStart w:id="49" w:name="R420945114814815I0"/>
      <w:r>
        <w:t xml:space="preserve">Johnston, S. C., Albers, G. W., </w:t>
      </w:r>
      <w:proofErr w:type="spellStart"/>
      <w:r>
        <w:t>Gorelick</w:t>
      </w:r>
      <w:proofErr w:type="spellEnd"/>
      <w:r>
        <w:t xml:space="preserve">, P. B., </w:t>
      </w:r>
      <w:proofErr w:type="spellStart"/>
      <w:r>
        <w:t>Cumbler</w:t>
      </w:r>
      <w:proofErr w:type="spellEnd"/>
      <w:r>
        <w:t xml:space="preserve">, E., </w:t>
      </w:r>
      <w:proofErr w:type="spellStart"/>
      <w:r>
        <w:t>Klingman</w:t>
      </w:r>
      <w:proofErr w:type="spellEnd"/>
      <w:r>
        <w:t xml:space="preserve">, J., Ross, M. A., ... </w:t>
      </w:r>
      <w:proofErr w:type="spellStart"/>
      <w:r>
        <w:t>Vaince</w:t>
      </w:r>
      <w:proofErr w:type="spellEnd"/>
      <w:r>
        <w:t xml:space="preserve">, U. (2011, May). National stroke association recommendations for systems of care for transient ischemic attack. </w:t>
      </w:r>
      <w:r>
        <w:rPr>
          <w:i/>
        </w:rPr>
        <w:t>Annals of Neurology</w:t>
      </w:r>
      <w:r>
        <w:t xml:space="preserve">, </w:t>
      </w:r>
      <w:r>
        <w:rPr>
          <w:i/>
        </w:rPr>
        <w:t>69</w:t>
      </w:r>
      <w:r>
        <w:t>, 872-877. http://dx.doi.org/10.1002/ana.22332</w:t>
      </w:r>
      <w:bookmarkEnd w:id="49"/>
    </w:p>
    <w:p w:rsidR="006725F2" w:rsidRDefault="006725F2" w:rsidP="006725F2">
      <w:pPr>
        <w:pStyle w:val="APAReference"/>
      </w:pPr>
      <w:bookmarkStart w:id="50" w:name="R420598957291667I0"/>
      <w:r>
        <w:t xml:space="preserve">Johnston, S. C., Nguyen-Huynh, M. N., Schwarz, M. E., Fuller, K., Williams, C. E., &amp; Josephson, S. A. (2006, September). National stroke association guidelines for the management of transient ischemic attacks. </w:t>
      </w:r>
      <w:r>
        <w:rPr>
          <w:i/>
        </w:rPr>
        <w:t>Annals of Neurology</w:t>
      </w:r>
      <w:r>
        <w:t xml:space="preserve">, </w:t>
      </w:r>
      <w:r>
        <w:rPr>
          <w:i/>
        </w:rPr>
        <w:t>60</w:t>
      </w:r>
      <w:r>
        <w:t>(3), 301-313. http://dx.doi.org/10.1002/ana.20942</w:t>
      </w:r>
      <w:bookmarkEnd w:id="50"/>
    </w:p>
    <w:p w:rsidR="006725F2" w:rsidRDefault="006725F2" w:rsidP="006725F2">
      <w:pPr>
        <w:pStyle w:val="APAReference"/>
      </w:pPr>
      <w:bookmarkStart w:id="51" w:name="R421014667824074I0"/>
      <w:proofErr w:type="spellStart"/>
      <w:r>
        <w:lastRenderedPageBreak/>
        <w:t>Liebeskind</w:t>
      </w:r>
      <w:proofErr w:type="spellEnd"/>
      <w:r>
        <w:t xml:space="preserve">, D. S. (2015). </w:t>
      </w:r>
      <w:proofErr w:type="spellStart"/>
      <w:r>
        <w:t>Hemhorragic</w:t>
      </w:r>
      <w:proofErr w:type="spellEnd"/>
      <w:r>
        <w:t xml:space="preserve"> stroke clinical presentation. Retrieved April 1, 2015, from www.emedicine.medscape.com/article/1916662-clinical</w:t>
      </w:r>
      <w:bookmarkEnd w:id="51"/>
    </w:p>
    <w:p w:rsidR="006725F2" w:rsidRDefault="006725F2" w:rsidP="006725F2">
      <w:pPr>
        <w:pStyle w:val="APAReference"/>
      </w:pPr>
      <w:bookmarkStart w:id="52" w:name="R421015038541667I0"/>
      <w:r>
        <w:t xml:space="preserve">Migraine and </w:t>
      </w:r>
      <w:proofErr w:type="spellStart"/>
      <w:proofErr w:type="gramStart"/>
      <w:r>
        <w:t>tia</w:t>
      </w:r>
      <w:proofErr w:type="spellEnd"/>
      <w:proofErr w:type="gramEnd"/>
      <w:r>
        <w:t>. (2015). Retrieved from www.migraine.com/living-with-migraine/migraine-and-transient-ischemic-attack/</w:t>
      </w:r>
      <w:bookmarkEnd w:id="52"/>
    </w:p>
    <w:p w:rsidR="006725F2" w:rsidRDefault="006725F2" w:rsidP="006725F2">
      <w:pPr>
        <w:pStyle w:val="APAReference"/>
      </w:pPr>
      <w:bookmarkStart w:id="53" w:name="R420599037847222I0"/>
      <w:r>
        <w:t>Nanda, A. (2011). Transient ischemic attack. Retrieved February 24, 2015, from http://emedicine.medscape.com/article/1910519-overview</w:t>
      </w:r>
      <w:bookmarkEnd w:id="53"/>
    </w:p>
    <w:p w:rsidR="006725F2" w:rsidRDefault="006725F2" w:rsidP="006725F2">
      <w:pPr>
        <w:pStyle w:val="APAReference"/>
      </w:pPr>
      <w:bookmarkStart w:id="54" w:name="R421014760879630I0"/>
      <w:r>
        <w:t>Neurological diagnostic tests and procedures. (2005). Retrieved from www.ninds.nih.gov/disorders/misc/diagnostic_tests.htm#diagnostic</w:t>
      </w:r>
      <w:bookmarkEnd w:id="54"/>
    </w:p>
    <w:p w:rsidR="006725F2" w:rsidRDefault="006725F2" w:rsidP="006725F2">
      <w:pPr>
        <w:pStyle w:val="APAReference"/>
      </w:pPr>
      <w:bookmarkStart w:id="55" w:name="R421017148148148I0"/>
      <w:r>
        <w:t xml:space="preserve">Ovbiaqele, B., McNair, N., Pineda, S., </w:t>
      </w:r>
      <w:proofErr w:type="spellStart"/>
      <w:r>
        <w:t>Liebskind</w:t>
      </w:r>
      <w:proofErr w:type="spellEnd"/>
      <w:r>
        <w:t xml:space="preserve">, D. S., Ali, L. K., &amp; Saver, J. L. (2009, January). A care pathway to boost influenza vaccination rates among inpatients with acute ischemic stroke and transient ischemic attack. </w:t>
      </w:r>
      <w:r>
        <w:rPr>
          <w:i/>
        </w:rPr>
        <w:t>Journal of Stroke and Cerebrovascular Disorders</w:t>
      </w:r>
      <w:r>
        <w:t xml:space="preserve">, </w:t>
      </w:r>
      <w:r>
        <w:rPr>
          <w:i/>
        </w:rPr>
        <w:t>18</w:t>
      </w:r>
      <w:r>
        <w:t>(1), 38-40. http://dx.doi.org/10.1016/j.jstrokecerebrovasdis.2008.08.002</w:t>
      </w:r>
      <w:bookmarkEnd w:id="55"/>
    </w:p>
    <w:p w:rsidR="006725F2" w:rsidRDefault="006725F2" w:rsidP="006725F2">
      <w:pPr>
        <w:pStyle w:val="APAReference"/>
      </w:pPr>
      <w:bookmarkStart w:id="56" w:name="R421017470023148I0"/>
      <w:r>
        <w:t>Published recommendations. US Preventative Services Task Force. (2015). Retrieved March 28, 2015, from http://www.uspreventiveservicestaskforce.org/BrowseRec/Index</w:t>
      </w:r>
      <w:bookmarkEnd w:id="56"/>
    </w:p>
    <w:p w:rsidR="006725F2" w:rsidRDefault="006725F2" w:rsidP="006725F2">
      <w:pPr>
        <w:pStyle w:val="APAReference"/>
      </w:pPr>
      <w:bookmarkStart w:id="57" w:name="R420994646759259I0"/>
      <w:r>
        <w:t xml:space="preserve">Stroke. Diagnosis and initial management of acute stroke and transient </w:t>
      </w:r>
      <w:proofErr w:type="spellStart"/>
      <w:r>
        <w:t>ischaemic</w:t>
      </w:r>
      <w:proofErr w:type="spellEnd"/>
      <w:r>
        <w:t xml:space="preserve"> attack (TIA). (2015). Retrieved February 22, 2015, from www.guideline.gov/popups/printView.aspx?id=14328</w:t>
      </w:r>
      <w:bookmarkEnd w:id="57"/>
    </w:p>
    <w:p w:rsidR="006725F2" w:rsidRPr="006725F2" w:rsidRDefault="006725F2" w:rsidP="006725F2">
      <w:pPr>
        <w:pStyle w:val="APAReference"/>
      </w:pPr>
      <w:bookmarkStart w:id="58" w:name="R420993401967593I0"/>
      <w:r>
        <w:t xml:space="preserve">Vaccine recommendations of the </w:t>
      </w:r>
      <w:proofErr w:type="spellStart"/>
      <w:r>
        <w:t>acip</w:t>
      </w:r>
      <w:proofErr w:type="spellEnd"/>
      <w:r>
        <w:t>. (2015). Retrieved March 28, 2015, from http://www.cdc.gov/vaccines/hcp/acip-recs/index.html</w:t>
      </w:r>
      <w:bookmarkEnd w:id="58"/>
    </w:p>
    <w:p w:rsidR="006725F2" w:rsidRDefault="006725F2" w:rsidP="006725F2">
      <w:pPr>
        <w:pStyle w:val="APAHeadingCenterIncludedInTOC"/>
      </w:pPr>
    </w:p>
    <w:sectPr w:rsidR="006725F2" w:rsidSect="003F398E">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26" w:rsidRDefault="00E32326">
      <w:r>
        <w:separator/>
      </w:r>
    </w:p>
  </w:endnote>
  <w:endnote w:type="continuationSeparator" w:id="0">
    <w:p w:rsidR="00E32326" w:rsidRDefault="00E3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A" w:rsidRDefault="00374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A" w:rsidRDefault="00374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A" w:rsidRDefault="00374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26" w:rsidRDefault="00E32326">
      <w:r>
        <w:separator/>
      </w:r>
    </w:p>
  </w:footnote>
  <w:footnote w:type="continuationSeparator" w:id="0">
    <w:p w:rsidR="00E32326" w:rsidRDefault="00E32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A" w:rsidRDefault="00374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A" w:rsidRDefault="00374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A" w:rsidRPr="00996D5E" w:rsidRDefault="00996D5E" w:rsidP="00996D5E">
    <w:pPr>
      <w:pStyle w:val="APAPageHeading"/>
    </w:pPr>
    <w:r>
      <w:t>Running head: CASE STUDY: TIA</w:t>
    </w:r>
    <w:r>
      <w:tab/>
    </w:r>
    <w:r>
      <w:fldChar w:fldCharType="begin"/>
    </w:r>
    <w:r>
      <w:instrText xml:space="preserve"> PAGE  \* MERGEFORMAT </w:instrText>
    </w:r>
    <w:r>
      <w:fldChar w:fldCharType="separate"/>
    </w:r>
    <w:r w:rsidR="002B178E">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8E" w:rsidRPr="00996D5E" w:rsidRDefault="00996D5E" w:rsidP="00996D5E">
    <w:pPr>
      <w:pStyle w:val="APAPageHeading"/>
    </w:pPr>
    <w:r>
      <w:t>CASE STUDY: TIA</w:t>
    </w:r>
    <w:r>
      <w:tab/>
    </w:r>
    <w:r>
      <w:fldChar w:fldCharType="begin"/>
    </w:r>
    <w:r>
      <w:instrText xml:space="preserve"> PAGE  \* MERGEFORMAT </w:instrText>
    </w:r>
    <w:r>
      <w:fldChar w:fldCharType="separate"/>
    </w:r>
    <w:r w:rsidR="00F926A4">
      <w:rPr>
        <w:noProof/>
      </w:rPr>
      <w:t>10</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8E" w:rsidRPr="00996D5E" w:rsidRDefault="00996D5E" w:rsidP="00996D5E">
    <w:pPr>
      <w:pStyle w:val="APAPageHeading"/>
    </w:pPr>
    <w:r>
      <w:t>CASE STUDY: TIA</w:t>
    </w:r>
    <w:r>
      <w:tab/>
    </w:r>
    <w:r>
      <w:fldChar w:fldCharType="begin"/>
    </w:r>
    <w:r>
      <w:instrText xml:space="preserve"> PAGE  \* MERGEFORMAT </w:instrText>
    </w:r>
    <w:r>
      <w:fldChar w:fldCharType="separate"/>
    </w:r>
    <w:r w:rsidR="002B178E">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20598957291667I0" w:val="*1,60˜11S.~Claiborne~Johnston~Mai~N.~Nguyen-Huynh~Miriam~E.~Schwarz~Kate~~Fuller~Christina~E.~Williams~S.~Andrew~Josephson~˜12032006˜2331˜1241September˜13National stroke association guidelines for the management of transient ischemic attacks˜16Annals of Neurology˜2681˜18660˜211˜1813˜2711˜1163301-313˜21751˜2691˜119610.1002/ana.20942˜1141˜"/>
    <w:docVar w:name="420599037847222I0" w:val="*1,262˜11Ashish~~Nanda~˜12032011˜13Transient ischemic attack˜2700˜1112February 24, 2015˜112http://emedicine.medscape.com/article/1910519-overview˜"/>
    <w:docVar w:name="420749891063310I396343" w:val="*1,597˜11Lynn~S.~Bickley~˜12032013˜15Guide to physical examination and history taking˜2201˜15211th˜21951˜21940˜110Philadelphia, PA˜111Wolters Kluwer Health | Lippincott Williams &amp; Wilkins˜1449˜2690˜1196˜1609˜"/>
    <w:docVar w:name="420903646064815I0" w:val="*1,334˜11V.~~Hachinski~V.~~Jain~˜12032008˜1205Transient ischemic attack (tia)˜21831˜17Frank~J.~Domino~˜151The 5-minute clinical consult˜21971˜21961˜145016th ed.˜2711˜2337˜241˜1711290˜1721291˜173˜2314˜1603˜21951˜21940˜110Philadelphia, PA˜111Wolters Kluwer˜1449˜269˜1196˜1609˜"/>
    <w:docVar w:name="420945114814815I0" w:val="*1,60˜11S.~Claiborne~Johnston~Gregory~W.~Albers~Phillip~B.~Gorelick~Ethan~~Cumbler~Jeffrey~~Klingman~Michael~A.~Ross~Meg~~Briggs~Uzma~~Vaince~˜12032011˜2331˜1241May˜13National stroke association recommendations for systems of care for transient ischemic attack˜16Annals of Neurology˜2681˜18669˜210˜181˜2711˜1163872-877˜21751˜2691˜119610.1002/ana.22332˜1141˜"/>
    <w:docVar w:name="420993319675926I0" w:val="*1,597˜11Amelie~~Hollier~Rhonda~~Hensley~˜12032011˜15Clinical guidelines in primary care: A reference and review book˜2200˜152˜21951˜21940˜110Lafayette, LA˜111Advanced Practice Education Associates˜1449˜269˜1196˜1609˜"/>
    <w:docVar w:name="420993401967593I0" w:val="*1,610˜13Vaccine recommendations of the acip˜1234ACIP˜12032015˜2700˜1112March 28, 2015˜112http://www.cdc.gov/vaccines/hcp/acip-recs/index.html˜"/>
    <w:docVar w:name="420993432407407I0" w:val="*1,60˜11J.~Donald~Easton~Jeffrey~L.~Saver~Gregory~W.~Albers~Mark~J.~Alberts~Seemant~~Chaturvedi~Edward~~Feldmann~Thomas~S.~Hatsukami~Ralph~L.~Sacco~˜12032009˜2331˜1241June˜13AHA/ASA Scientific Statement: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16Stroke˜2681˜18640˜210˜181˜2711˜11632276-2293˜21751˜2691˜119610.1161/STROKEAHA.108.192218˜1141˜"/>
    <w:docVar w:name="420994646759259I0" w:val="*1,610˜13Stroke. Diagnosis and initial management of acute stroke and transient ischaemic attack (TIA).˜1234Clearinghouse, stroke˜12032015˜2700˜1112February 22, 2015˜112www.guideline.gov/popups/printView.aspx?id=14328˜"/>
    <w:docVar w:name="421014667824074I0" w:val="*1,262˜11David~S.~Liebeskind~˜12032015˜13Hemhorragic stroke clinical presentation˜2700˜1112April 1, 2015˜112www.emedicine.medscape.com/article/1916662-clinical˜"/>
    <w:docVar w:name="421014760879630I0" w:val="*1,610˜13Neurological diagnostic tests and procedures˜1234Neuro tests˜12032005˜2701˜1112˜112www.ninds.nih.gov/disorders/misc/diagnostic_tests.htm#diagnostic˜"/>
    <w:docVar w:name="421015038541667I0" w:val="*1,610˜13Migraine and tia˜1234Migraine and TIA˜12032015˜2701˜1112˜112www.migraine.com/living-with-migraine/migraine-and-transient-ischemic-attack/˜"/>
    <w:docVar w:name="421017148148148I0" w:val="*1,60˜11B.~~Ovbiaqele~N.~~McNair~S.~~Pineda~D.~S.~Liebskind~L.~K.~Ali~J.~L.~Saver~˜12032009˜2331˜1241January˜13A care pathway to boost influenza vaccination rates among inpatients with acute ischemic stroke and transient ischemic attack˜16Journal of Stroke and Cerebrovascular Disorders˜2681˜18618˜211˜1811˜2711˜116338-40˜21751˜2691˜119610.1016/j.jstrokecerebrovasdis.2008.08.002˜1141˜"/>
    <w:docVar w:name="421017470023148I0" w:val="*1,610˜13Published recommendations. US Preventative Services Task Force˜1234Recommendations˜12032015˜2700˜1112March 28, 2015˜112http://www.uspreventiveservicestaskforce.org/BrowseRec/Index˜"/>
    <w:docVar w:name="bmHeaderInfo" w:val="CASE STUDY: TIA"/>
    <w:docVar w:name="cIsAbstract" w:val="False"/>
    <w:docVar w:name="cPaperAPAOrMLA" w:val="1"/>
    <w:docVar w:name="cUniquePaperID" w:val="420359430787037I0"/>
    <w:docVar w:name="HasTitlePage" w:val="True"/>
    <w:docVar w:name="LastEditedVersion" w:val="5"/>
  </w:docVars>
  <w:rsids>
    <w:rsidRoot w:val="003F398E"/>
    <w:rsid w:val="000022DA"/>
    <w:rsid w:val="00003592"/>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B07"/>
    <w:rsid w:val="00024022"/>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5F21"/>
    <w:rsid w:val="00077379"/>
    <w:rsid w:val="000777BB"/>
    <w:rsid w:val="00077CA5"/>
    <w:rsid w:val="00080821"/>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97BC4"/>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EAB"/>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7A9"/>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5768"/>
    <w:rsid w:val="00126126"/>
    <w:rsid w:val="00126C95"/>
    <w:rsid w:val="0012702A"/>
    <w:rsid w:val="00127244"/>
    <w:rsid w:val="00130321"/>
    <w:rsid w:val="0013109F"/>
    <w:rsid w:val="00131A06"/>
    <w:rsid w:val="0013262E"/>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847"/>
    <w:rsid w:val="00163CF7"/>
    <w:rsid w:val="00164E7D"/>
    <w:rsid w:val="00165696"/>
    <w:rsid w:val="0016796B"/>
    <w:rsid w:val="001717AD"/>
    <w:rsid w:val="0017576B"/>
    <w:rsid w:val="00176C2C"/>
    <w:rsid w:val="00182674"/>
    <w:rsid w:val="00182883"/>
    <w:rsid w:val="00183914"/>
    <w:rsid w:val="001861B5"/>
    <w:rsid w:val="00186486"/>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9D"/>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A58"/>
    <w:rsid w:val="001D0ECC"/>
    <w:rsid w:val="001D3787"/>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36A8"/>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1A1"/>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178E"/>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AAC"/>
    <w:rsid w:val="002D0C74"/>
    <w:rsid w:val="002D357E"/>
    <w:rsid w:val="002D4CD7"/>
    <w:rsid w:val="002D5064"/>
    <w:rsid w:val="002D5B53"/>
    <w:rsid w:val="002D6107"/>
    <w:rsid w:val="002D61C9"/>
    <w:rsid w:val="002D7CE6"/>
    <w:rsid w:val="002E0B9D"/>
    <w:rsid w:val="002E1596"/>
    <w:rsid w:val="002E1C1A"/>
    <w:rsid w:val="002E38B3"/>
    <w:rsid w:val="002E3980"/>
    <w:rsid w:val="002E4988"/>
    <w:rsid w:val="002E524C"/>
    <w:rsid w:val="002E6306"/>
    <w:rsid w:val="002E6ABC"/>
    <w:rsid w:val="002E7153"/>
    <w:rsid w:val="002E7BB5"/>
    <w:rsid w:val="002F0392"/>
    <w:rsid w:val="002F1C92"/>
    <w:rsid w:val="002F1CB7"/>
    <w:rsid w:val="002F2990"/>
    <w:rsid w:val="002F42C4"/>
    <w:rsid w:val="002F5801"/>
    <w:rsid w:val="002F7F16"/>
    <w:rsid w:val="003001A8"/>
    <w:rsid w:val="003013D8"/>
    <w:rsid w:val="00302829"/>
    <w:rsid w:val="00304072"/>
    <w:rsid w:val="0030408C"/>
    <w:rsid w:val="003047E5"/>
    <w:rsid w:val="00304FA2"/>
    <w:rsid w:val="003108F4"/>
    <w:rsid w:val="003110D6"/>
    <w:rsid w:val="003112B7"/>
    <w:rsid w:val="00311BE3"/>
    <w:rsid w:val="00312E9B"/>
    <w:rsid w:val="003147FB"/>
    <w:rsid w:val="00317862"/>
    <w:rsid w:val="00321211"/>
    <w:rsid w:val="003221B8"/>
    <w:rsid w:val="0032424E"/>
    <w:rsid w:val="00326614"/>
    <w:rsid w:val="00326D13"/>
    <w:rsid w:val="00326D6C"/>
    <w:rsid w:val="00333531"/>
    <w:rsid w:val="003338CD"/>
    <w:rsid w:val="003353D8"/>
    <w:rsid w:val="0033781A"/>
    <w:rsid w:val="00337D12"/>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249"/>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3835"/>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3D35"/>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537C"/>
    <w:rsid w:val="003E6233"/>
    <w:rsid w:val="003F04D1"/>
    <w:rsid w:val="003F27CE"/>
    <w:rsid w:val="003F398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0B23"/>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90673"/>
    <w:rsid w:val="00490F0A"/>
    <w:rsid w:val="004912A6"/>
    <w:rsid w:val="00491C36"/>
    <w:rsid w:val="00496A04"/>
    <w:rsid w:val="00497A70"/>
    <w:rsid w:val="004A0428"/>
    <w:rsid w:val="004A0B2B"/>
    <w:rsid w:val="004A11BD"/>
    <w:rsid w:val="004A1B0D"/>
    <w:rsid w:val="004A2156"/>
    <w:rsid w:val="004A49BE"/>
    <w:rsid w:val="004A5B51"/>
    <w:rsid w:val="004A61D0"/>
    <w:rsid w:val="004A6E3C"/>
    <w:rsid w:val="004A7132"/>
    <w:rsid w:val="004B0D29"/>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68A8"/>
    <w:rsid w:val="00527163"/>
    <w:rsid w:val="005278D1"/>
    <w:rsid w:val="005308BF"/>
    <w:rsid w:val="0053102E"/>
    <w:rsid w:val="00532DA0"/>
    <w:rsid w:val="005344C2"/>
    <w:rsid w:val="00535173"/>
    <w:rsid w:val="005368D3"/>
    <w:rsid w:val="00537FBC"/>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67BBE"/>
    <w:rsid w:val="005708C8"/>
    <w:rsid w:val="005721DA"/>
    <w:rsid w:val="00574175"/>
    <w:rsid w:val="0057453C"/>
    <w:rsid w:val="00574B5B"/>
    <w:rsid w:val="0057504E"/>
    <w:rsid w:val="00575987"/>
    <w:rsid w:val="005765EB"/>
    <w:rsid w:val="005773E2"/>
    <w:rsid w:val="00577428"/>
    <w:rsid w:val="00577D72"/>
    <w:rsid w:val="00581455"/>
    <w:rsid w:val="00581E7E"/>
    <w:rsid w:val="005822C9"/>
    <w:rsid w:val="0058442B"/>
    <w:rsid w:val="00584C03"/>
    <w:rsid w:val="00586812"/>
    <w:rsid w:val="00586A2E"/>
    <w:rsid w:val="005876DC"/>
    <w:rsid w:val="005876FF"/>
    <w:rsid w:val="00587B25"/>
    <w:rsid w:val="00590B21"/>
    <w:rsid w:val="00591C53"/>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53"/>
    <w:rsid w:val="005B3CDE"/>
    <w:rsid w:val="005B5210"/>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33A"/>
    <w:rsid w:val="005E47C2"/>
    <w:rsid w:val="005E580F"/>
    <w:rsid w:val="005E661D"/>
    <w:rsid w:val="005E67C5"/>
    <w:rsid w:val="005F03E6"/>
    <w:rsid w:val="005F1954"/>
    <w:rsid w:val="005F1B77"/>
    <w:rsid w:val="005F6687"/>
    <w:rsid w:val="005F732A"/>
    <w:rsid w:val="005F7879"/>
    <w:rsid w:val="00600222"/>
    <w:rsid w:val="00600B4A"/>
    <w:rsid w:val="00601283"/>
    <w:rsid w:val="00601679"/>
    <w:rsid w:val="00602018"/>
    <w:rsid w:val="00604740"/>
    <w:rsid w:val="00611E7C"/>
    <w:rsid w:val="006142E4"/>
    <w:rsid w:val="00614926"/>
    <w:rsid w:val="00616AAA"/>
    <w:rsid w:val="006170FA"/>
    <w:rsid w:val="006207E8"/>
    <w:rsid w:val="00620CCA"/>
    <w:rsid w:val="00621191"/>
    <w:rsid w:val="00622699"/>
    <w:rsid w:val="0062424C"/>
    <w:rsid w:val="00625F35"/>
    <w:rsid w:val="00626481"/>
    <w:rsid w:val="006265CD"/>
    <w:rsid w:val="00627DEC"/>
    <w:rsid w:val="006334F5"/>
    <w:rsid w:val="006356B6"/>
    <w:rsid w:val="0063611B"/>
    <w:rsid w:val="00637D86"/>
    <w:rsid w:val="00640162"/>
    <w:rsid w:val="00641AA4"/>
    <w:rsid w:val="00642FAE"/>
    <w:rsid w:val="00644751"/>
    <w:rsid w:val="0064509E"/>
    <w:rsid w:val="006454CC"/>
    <w:rsid w:val="006477AF"/>
    <w:rsid w:val="00650B3E"/>
    <w:rsid w:val="006510B1"/>
    <w:rsid w:val="00651BE3"/>
    <w:rsid w:val="00653E3D"/>
    <w:rsid w:val="00654479"/>
    <w:rsid w:val="00656A07"/>
    <w:rsid w:val="006600E5"/>
    <w:rsid w:val="006603AC"/>
    <w:rsid w:val="006610AD"/>
    <w:rsid w:val="00661794"/>
    <w:rsid w:val="00661B3E"/>
    <w:rsid w:val="00661D38"/>
    <w:rsid w:val="00662059"/>
    <w:rsid w:val="00662143"/>
    <w:rsid w:val="00662755"/>
    <w:rsid w:val="0066499D"/>
    <w:rsid w:val="00664A2D"/>
    <w:rsid w:val="00664AC2"/>
    <w:rsid w:val="00665941"/>
    <w:rsid w:val="00666DBA"/>
    <w:rsid w:val="006672E6"/>
    <w:rsid w:val="00670370"/>
    <w:rsid w:val="00670BC7"/>
    <w:rsid w:val="00670D1A"/>
    <w:rsid w:val="006717F1"/>
    <w:rsid w:val="006725F2"/>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3E99"/>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481D"/>
    <w:rsid w:val="007553B0"/>
    <w:rsid w:val="00755A12"/>
    <w:rsid w:val="00755DEC"/>
    <w:rsid w:val="007563CF"/>
    <w:rsid w:val="0075678B"/>
    <w:rsid w:val="0076357B"/>
    <w:rsid w:val="0076359E"/>
    <w:rsid w:val="0076418E"/>
    <w:rsid w:val="00764AB6"/>
    <w:rsid w:val="0076610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3C3"/>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1511"/>
    <w:rsid w:val="007C2077"/>
    <w:rsid w:val="007C3630"/>
    <w:rsid w:val="007C3764"/>
    <w:rsid w:val="007C3885"/>
    <w:rsid w:val="007C4133"/>
    <w:rsid w:val="007D094A"/>
    <w:rsid w:val="007D132C"/>
    <w:rsid w:val="007D1A99"/>
    <w:rsid w:val="007D3508"/>
    <w:rsid w:val="007D353D"/>
    <w:rsid w:val="007D3976"/>
    <w:rsid w:val="007D41A7"/>
    <w:rsid w:val="007D457E"/>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0261"/>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4B54"/>
    <w:rsid w:val="0083624F"/>
    <w:rsid w:val="00840B54"/>
    <w:rsid w:val="00841975"/>
    <w:rsid w:val="00842E4E"/>
    <w:rsid w:val="00842ED3"/>
    <w:rsid w:val="008442E2"/>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446E"/>
    <w:rsid w:val="00875013"/>
    <w:rsid w:val="00875898"/>
    <w:rsid w:val="00876951"/>
    <w:rsid w:val="00880638"/>
    <w:rsid w:val="0088195F"/>
    <w:rsid w:val="008829F5"/>
    <w:rsid w:val="008831DD"/>
    <w:rsid w:val="00884AE0"/>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8BF"/>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2443"/>
    <w:rsid w:val="008D3467"/>
    <w:rsid w:val="008D3F5B"/>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5AAA"/>
    <w:rsid w:val="0094658A"/>
    <w:rsid w:val="00950C9D"/>
    <w:rsid w:val="00951CFA"/>
    <w:rsid w:val="00952BB6"/>
    <w:rsid w:val="00953957"/>
    <w:rsid w:val="00956AEA"/>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5E"/>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194C"/>
    <w:rsid w:val="009C389D"/>
    <w:rsid w:val="009C467C"/>
    <w:rsid w:val="009C5EAA"/>
    <w:rsid w:val="009C6212"/>
    <w:rsid w:val="009C6F54"/>
    <w:rsid w:val="009C7C87"/>
    <w:rsid w:val="009D1666"/>
    <w:rsid w:val="009D2328"/>
    <w:rsid w:val="009D2C3E"/>
    <w:rsid w:val="009D2E6E"/>
    <w:rsid w:val="009D3E9C"/>
    <w:rsid w:val="009D5C6E"/>
    <w:rsid w:val="009D640F"/>
    <w:rsid w:val="009D6E0A"/>
    <w:rsid w:val="009E0A0C"/>
    <w:rsid w:val="009E172B"/>
    <w:rsid w:val="009E204B"/>
    <w:rsid w:val="009E2C93"/>
    <w:rsid w:val="009E3BF8"/>
    <w:rsid w:val="009E5CF0"/>
    <w:rsid w:val="009E5F6F"/>
    <w:rsid w:val="009E61F5"/>
    <w:rsid w:val="009E71E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5074"/>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3C65"/>
    <w:rsid w:val="00AA42B6"/>
    <w:rsid w:val="00AA4F0B"/>
    <w:rsid w:val="00AA6658"/>
    <w:rsid w:val="00AA7B87"/>
    <w:rsid w:val="00AB18B9"/>
    <w:rsid w:val="00AB21DE"/>
    <w:rsid w:val="00AB23E2"/>
    <w:rsid w:val="00AB31D9"/>
    <w:rsid w:val="00AB347C"/>
    <w:rsid w:val="00AB668D"/>
    <w:rsid w:val="00AB731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1E8"/>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06DE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098"/>
    <w:rsid w:val="00B43BB7"/>
    <w:rsid w:val="00B43BD8"/>
    <w:rsid w:val="00B44050"/>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18EF"/>
    <w:rsid w:val="00B95AB8"/>
    <w:rsid w:val="00B969C2"/>
    <w:rsid w:val="00B96B82"/>
    <w:rsid w:val="00B97B20"/>
    <w:rsid w:val="00BA2ACC"/>
    <w:rsid w:val="00BA76BB"/>
    <w:rsid w:val="00BA7839"/>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06C8"/>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17A"/>
    <w:rsid w:val="00C03A82"/>
    <w:rsid w:val="00C03A89"/>
    <w:rsid w:val="00C0679A"/>
    <w:rsid w:val="00C06A96"/>
    <w:rsid w:val="00C07026"/>
    <w:rsid w:val="00C075C4"/>
    <w:rsid w:val="00C11031"/>
    <w:rsid w:val="00C11AA2"/>
    <w:rsid w:val="00C1200C"/>
    <w:rsid w:val="00C1369F"/>
    <w:rsid w:val="00C138BA"/>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1D21"/>
    <w:rsid w:val="00C82755"/>
    <w:rsid w:val="00C831CB"/>
    <w:rsid w:val="00C86DE9"/>
    <w:rsid w:val="00C9043C"/>
    <w:rsid w:val="00C91741"/>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27C0"/>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40B7"/>
    <w:rsid w:val="00D26598"/>
    <w:rsid w:val="00D27890"/>
    <w:rsid w:val="00D27F9F"/>
    <w:rsid w:val="00D30344"/>
    <w:rsid w:val="00D3043C"/>
    <w:rsid w:val="00D30B9C"/>
    <w:rsid w:val="00D30D93"/>
    <w:rsid w:val="00D311C6"/>
    <w:rsid w:val="00D32D49"/>
    <w:rsid w:val="00D32FFC"/>
    <w:rsid w:val="00D33471"/>
    <w:rsid w:val="00D3359A"/>
    <w:rsid w:val="00D343D6"/>
    <w:rsid w:val="00D34FA9"/>
    <w:rsid w:val="00D368B9"/>
    <w:rsid w:val="00D37007"/>
    <w:rsid w:val="00D400F7"/>
    <w:rsid w:val="00D41191"/>
    <w:rsid w:val="00D4216B"/>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77E1C"/>
    <w:rsid w:val="00D81237"/>
    <w:rsid w:val="00D812BD"/>
    <w:rsid w:val="00D83BDB"/>
    <w:rsid w:val="00D871E2"/>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3DA3"/>
    <w:rsid w:val="00E043F6"/>
    <w:rsid w:val="00E0573E"/>
    <w:rsid w:val="00E07AE2"/>
    <w:rsid w:val="00E07AE8"/>
    <w:rsid w:val="00E11589"/>
    <w:rsid w:val="00E129AC"/>
    <w:rsid w:val="00E13857"/>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326"/>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54E7"/>
    <w:rsid w:val="00E46C37"/>
    <w:rsid w:val="00E47394"/>
    <w:rsid w:val="00E51080"/>
    <w:rsid w:val="00E530D4"/>
    <w:rsid w:val="00E56D5A"/>
    <w:rsid w:val="00E57244"/>
    <w:rsid w:val="00E61BE5"/>
    <w:rsid w:val="00E6284C"/>
    <w:rsid w:val="00E63809"/>
    <w:rsid w:val="00E63F80"/>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4FE5"/>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B4C90"/>
    <w:rsid w:val="00EC008F"/>
    <w:rsid w:val="00EC3031"/>
    <w:rsid w:val="00EC309C"/>
    <w:rsid w:val="00EC3654"/>
    <w:rsid w:val="00ED0FB4"/>
    <w:rsid w:val="00ED10D4"/>
    <w:rsid w:val="00ED1A57"/>
    <w:rsid w:val="00ED229E"/>
    <w:rsid w:val="00ED2B6E"/>
    <w:rsid w:val="00ED2EFD"/>
    <w:rsid w:val="00ED34A7"/>
    <w:rsid w:val="00ED59E1"/>
    <w:rsid w:val="00ED74DE"/>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496B"/>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3058"/>
    <w:rsid w:val="00F46F00"/>
    <w:rsid w:val="00F471F8"/>
    <w:rsid w:val="00F4721F"/>
    <w:rsid w:val="00F4768C"/>
    <w:rsid w:val="00F47B73"/>
    <w:rsid w:val="00F47C5B"/>
    <w:rsid w:val="00F50252"/>
    <w:rsid w:val="00F51311"/>
    <w:rsid w:val="00F51AE6"/>
    <w:rsid w:val="00F51D08"/>
    <w:rsid w:val="00F523A6"/>
    <w:rsid w:val="00F52AC1"/>
    <w:rsid w:val="00F52FFF"/>
    <w:rsid w:val="00F530F6"/>
    <w:rsid w:val="00F5366F"/>
    <w:rsid w:val="00F53A8E"/>
    <w:rsid w:val="00F5400D"/>
    <w:rsid w:val="00F54BA7"/>
    <w:rsid w:val="00F55FD0"/>
    <w:rsid w:val="00F56750"/>
    <w:rsid w:val="00F607CD"/>
    <w:rsid w:val="00F608D1"/>
    <w:rsid w:val="00F61982"/>
    <w:rsid w:val="00F62D25"/>
    <w:rsid w:val="00F63319"/>
    <w:rsid w:val="00F64200"/>
    <w:rsid w:val="00F70776"/>
    <w:rsid w:val="00F7114A"/>
    <w:rsid w:val="00F7167C"/>
    <w:rsid w:val="00F718BC"/>
    <w:rsid w:val="00F727FF"/>
    <w:rsid w:val="00F74521"/>
    <w:rsid w:val="00F74C90"/>
    <w:rsid w:val="00F7536E"/>
    <w:rsid w:val="00F763CA"/>
    <w:rsid w:val="00F76935"/>
    <w:rsid w:val="00F77C6B"/>
    <w:rsid w:val="00F82066"/>
    <w:rsid w:val="00F842DE"/>
    <w:rsid w:val="00F85DB3"/>
    <w:rsid w:val="00F8685C"/>
    <w:rsid w:val="00F900DF"/>
    <w:rsid w:val="00F926A4"/>
    <w:rsid w:val="00F94ABC"/>
    <w:rsid w:val="00F954A5"/>
    <w:rsid w:val="00F9725A"/>
    <w:rsid w:val="00F97A4B"/>
    <w:rsid w:val="00FA0777"/>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E90"/>
    <w:rsid w:val="00FC2F47"/>
    <w:rsid w:val="00FC34B8"/>
    <w:rsid w:val="00FC3777"/>
    <w:rsid w:val="00FC5375"/>
    <w:rsid w:val="00FC57B1"/>
    <w:rsid w:val="00FC6907"/>
    <w:rsid w:val="00FD1569"/>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E32FE6-2807-43E5-95C2-BAA09000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link w:val="APAChar"/>
    <w:pPr>
      <w:spacing w:after="0" w:line="480" w:lineRule="auto"/>
      <w:ind w:firstLine="720"/>
    </w:pPr>
    <w:rPr>
      <w:sz w:val="24"/>
    </w:rPr>
  </w:style>
  <w:style w:type="paragraph" w:styleId="BodyText">
    <w:name w:val="Body Text"/>
    <w:basedOn w:val="Normal"/>
    <w:link w:val="BodyTextChar"/>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3F398E"/>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3F398E"/>
    <w:rPr>
      <w:sz w:val="24"/>
    </w:rPr>
  </w:style>
  <w:style w:type="paragraph" w:customStyle="1" w:styleId="APAAnnotation">
    <w:name w:val="APA Annotation"/>
    <w:basedOn w:val="APA"/>
    <w:next w:val="APAReference"/>
    <w:link w:val="APAAnnotationChar"/>
    <w:rsid w:val="009E5CF0"/>
    <w:pPr>
      <w:spacing w:after="240"/>
      <w:ind w:left="720" w:firstLine="0"/>
    </w:pPr>
  </w:style>
  <w:style w:type="character" w:customStyle="1" w:styleId="BodyTextChar">
    <w:name w:val="Body Text Char"/>
    <w:basedOn w:val="DefaultParagraphFont"/>
    <w:link w:val="BodyText"/>
    <w:rsid w:val="009E5CF0"/>
  </w:style>
  <w:style w:type="character" w:customStyle="1" w:styleId="APAChar">
    <w:name w:val="APA Char"/>
    <w:basedOn w:val="BodyTextChar"/>
    <w:link w:val="APA"/>
    <w:rsid w:val="009E5CF0"/>
    <w:rPr>
      <w:sz w:val="24"/>
    </w:rPr>
  </w:style>
  <w:style w:type="character" w:customStyle="1" w:styleId="APAAnnotationChar">
    <w:name w:val="APA Annotation Char"/>
    <w:basedOn w:val="APAChar"/>
    <w:link w:val="APAAnnotation"/>
    <w:rsid w:val="009E5CF0"/>
    <w:rPr>
      <w:sz w:val="24"/>
    </w:rPr>
  </w:style>
  <w:style w:type="paragraph" w:customStyle="1" w:styleId="APAOutlineLevel1">
    <w:name w:val="APA Outline Level 1"/>
    <w:basedOn w:val="APA"/>
    <w:next w:val="APA"/>
    <w:link w:val="APAOutlineLevel1Char"/>
    <w:rsid w:val="009E5CF0"/>
    <w:pPr>
      <w:spacing w:after="240"/>
      <w:ind w:firstLine="0"/>
    </w:pPr>
  </w:style>
  <w:style w:type="character" w:customStyle="1" w:styleId="APAOutlineLevel1Char">
    <w:name w:val="APA Outline Level 1 Char"/>
    <w:basedOn w:val="APAChar"/>
    <w:link w:val="APAOutlineLevel1"/>
    <w:rsid w:val="009E5CF0"/>
    <w:rPr>
      <w:sz w:val="24"/>
    </w:rPr>
  </w:style>
  <w:style w:type="paragraph" w:customStyle="1" w:styleId="APAOutlineLevel2">
    <w:name w:val="APA Outline Level 2"/>
    <w:basedOn w:val="APA"/>
    <w:next w:val="APA"/>
    <w:link w:val="APAOutlineLevel2Char"/>
    <w:rsid w:val="009E5CF0"/>
    <w:pPr>
      <w:spacing w:after="240"/>
      <w:ind w:left="720" w:firstLine="0"/>
    </w:pPr>
  </w:style>
  <w:style w:type="character" w:customStyle="1" w:styleId="APAOutlineLevel2Char">
    <w:name w:val="APA Outline Level 2 Char"/>
    <w:basedOn w:val="APAChar"/>
    <w:link w:val="APAOutlineLevel2"/>
    <w:rsid w:val="009E5CF0"/>
    <w:rPr>
      <w:sz w:val="24"/>
    </w:rPr>
  </w:style>
  <w:style w:type="paragraph" w:customStyle="1" w:styleId="APAOutlineLevel3">
    <w:name w:val="APA Outline Level 3"/>
    <w:basedOn w:val="APA"/>
    <w:next w:val="APA"/>
    <w:link w:val="APAOutlineLevel3Char"/>
    <w:rsid w:val="009E5CF0"/>
    <w:pPr>
      <w:spacing w:after="240"/>
      <w:ind w:left="1440" w:firstLine="0"/>
    </w:pPr>
  </w:style>
  <w:style w:type="character" w:customStyle="1" w:styleId="APAOutlineLevel3Char">
    <w:name w:val="APA Outline Level 3 Char"/>
    <w:basedOn w:val="APAChar"/>
    <w:link w:val="APAOutlineLevel3"/>
    <w:rsid w:val="009E5CF0"/>
    <w:rPr>
      <w:sz w:val="24"/>
    </w:rPr>
  </w:style>
  <w:style w:type="paragraph" w:customStyle="1" w:styleId="APAOutlineLevel4">
    <w:name w:val="APA Outline Level 4"/>
    <w:basedOn w:val="APA"/>
    <w:next w:val="APA"/>
    <w:link w:val="APAOutlineLevel4Char"/>
    <w:rsid w:val="009E5CF0"/>
    <w:pPr>
      <w:spacing w:after="240"/>
      <w:ind w:left="2160" w:firstLine="0"/>
    </w:pPr>
  </w:style>
  <w:style w:type="character" w:customStyle="1" w:styleId="APAOutlineLevel4Char">
    <w:name w:val="APA Outline Level 4 Char"/>
    <w:basedOn w:val="APAChar"/>
    <w:link w:val="APAOutlineLevel4"/>
    <w:rsid w:val="009E5CF0"/>
    <w:rPr>
      <w:sz w:val="24"/>
    </w:rPr>
  </w:style>
  <w:style w:type="paragraph" w:customStyle="1" w:styleId="APAOutlineLevel5">
    <w:name w:val="APA Outline Level 5"/>
    <w:basedOn w:val="APA"/>
    <w:next w:val="APA"/>
    <w:link w:val="APAOutlineLevel5Char"/>
    <w:rsid w:val="009E5CF0"/>
    <w:pPr>
      <w:spacing w:after="240"/>
      <w:ind w:left="2880" w:firstLine="0"/>
    </w:pPr>
  </w:style>
  <w:style w:type="character" w:customStyle="1" w:styleId="APAOutlineLevel5Char">
    <w:name w:val="APA Outline Level 5 Char"/>
    <w:basedOn w:val="APAChar"/>
    <w:link w:val="APAOutlineLevel5"/>
    <w:rsid w:val="009E5CF0"/>
    <w:rPr>
      <w:sz w:val="24"/>
    </w:rPr>
  </w:style>
  <w:style w:type="paragraph" w:customStyle="1" w:styleId="APAOutlineLevel6">
    <w:name w:val="APA Outline Level 6"/>
    <w:basedOn w:val="APA"/>
    <w:next w:val="APA"/>
    <w:link w:val="APAOutlineLevel6Char"/>
    <w:rsid w:val="009E5CF0"/>
    <w:pPr>
      <w:spacing w:after="240"/>
      <w:ind w:left="3600" w:firstLine="0"/>
    </w:pPr>
  </w:style>
  <w:style w:type="character" w:customStyle="1" w:styleId="APAOutlineLevel6Char">
    <w:name w:val="APA Outline Level 6 Char"/>
    <w:basedOn w:val="APAChar"/>
    <w:link w:val="APAOutlineLevel6"/>
    <w:rsid w:val="009E5C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969E-F54E-4B6F-9EDD-56BB027F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8</TotalTime>
  <Pages>10</Pages>
  <Words>2211</Words>
  <Characters>13293</Characters>
  <Application>Microsoft Office Word</Application>
  <DocSecurity>0</DocSecurity>
  <Lines>225</Lines>
  <Paragraphs>82</Paragraphs>
  <ScaleCrop>false</ScaleCrop>
  <HeadingPairs>
    <vt:vector size="2" baseType="variant">
      <vt:variant>
        <vt:lpstr>Title</vt:lpstr>
      </vt:variant>
      <vt:variant>
        <vt:i4>1</vt:i4>
      </vt:variant>
    </vt:vector>
  </HeadingPairs>
  <TitlesOfParts>
    <vt:vector size="1" baseType="lpstr">
      <vt:lpstr>Case Study: TIA</vt:lpstr>
    </vt:vector>
  </TitlesOfParts>
  <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TIA</dc:title>
  <dc:subject>Copyright</dc:subject>
  <dc:creator>Clarke Krugman</dc:creator>
  <cp:keywords/>
  <cp:lastModifiedBy>clarke krugman</cp:lastModifiedBy>
  <cp:revision>5</cp:revision>
  <dcterms:created xsi:type="dcterms:W3CDTF">2015-04-08T01:43:00Z</dcterms:created>
  <dcterms:modified xsi:type="dcterms:W3CDTF">2015-04-08T01:49:00Z</dcterms:modified>
</cp:coreProperties>
</file>